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95AE5" w14:textId="77777777" w:rsidR="00BE1187" w:rsidRPr="002A09FB" w:rsidRDefault="00BE1187" w:rsidP="00BE1187">
      <w:pPr>
        <w:jc w:val="center"/>
        <w:rPr>
          <w:rFonts w:ascii="Cambria" w:hAnsi="Cambria"/>
          <w:b/>
          <w:sz w:val="22"/>
          <w:szCs w:val="22"/>
        </w:rPr>
      </w:pPr>
      <w:bookmarkStart w:id="0" w:name="_GoBack"/>
      <w:bookmarkEnd w:id="0"/>
      <w:r w:rsidRPr="002A09FB">
        <w:rPr>
          <w:rFonts w:ascii="Cambria" w:hAnsi="Cambria"/>
          <w:b/>
          <w:sz w:val="22"/>
          <w:szCs w:val="22"/>
        </w:rPr>
        <w:t>FACULTY APPOINTMENT TYPES and EVALUATIONS REQUIRED</w:t>
      </w:r>
    </w:p>
    <w:p w14:paraId="4440C9C6" w14:textId="628B5B7E" w:rsidR="00BE1187" w:rsidRDefault="00BE1187" w:rsidP="00CC293E">
      <w:pPr>
        <w:jc w:val="center"/>
        <w:rPr>
          <w:rFonts w:ascii="Cambria" w:hAnsi="Cambria"/>
          <w:sz w:val="22"/>
          <w:szCs w:val="22"/>
        </w:rPr>
      </w:pPr>
      <w:r w:rsidRPr="002A09FB">
        <w:rPr>
          <w:rFonts w:ascii="Cambria" w:hAnsi="Cambria"/>
          <w:sz w:val="22"/>
          <w:szCs w:val="22"/>
        </w:rPr>
        <w:t>[</w:t>
      </w:r>
      <w:r w:rsidR="00220D3A" w:rsidRPr="00884C93">
        <w:rPr>
          <w:rFonts w:ascii="Cambria" w:hAnsi="Cambria"/>
          <w:i/>
          <w:sz w:val="22"/>
          <w:szCs w:val="22"/>
        </w:rPr>
        <w:t>Summary only</w:t>
      </w:r>
      <w:r w:rsidR="00220D3A">
        <w:rPr>
          <w:rFonts w:ascii="Cambria" w:hAnsi="Cambria"/>
          <w:sz w:val="22"/>
          <w:szCs w:val="22"/>
        </w:rPr>
        <w:t xml:space="preserve"> - s</w:t>
      </w:r>
      <w:r w:rsidR="00CC293E">
        <w:rPr>
          <w:rFonts w:ascii="Cambria" w:hAnsi="Cambria"/>
          <w:sz w:val="22"/>
          <w:szCs w:val="22"/>
        </w:rPr>
        <w:t>ee</w:t>
      </w:r>
      <w:r w:rsidRPr="002A09FB">
        <w:rPr>
          <w:rFonts w:ascii="Cambria" w:hAnsi="Cambria"/>
          <w:sz w:val="22"/>
          <w:szCs w:val="22"/>
        </w:rPr>
        <w:t xml:space="preserve"> SOU Faculty </w:t>
      </w:r>
      <w:r w:rsidR="00220D3A">
        <w:rPr>
          <w:rFonts w:ascii="Cambria" w:hAnsi="Cambria"/>
          <w:sz w:val="22"/>
          <w:szCs w:val="22"/>
        </w:rPr>
        <w:t>Bylaws</w:t>
      </w:r>
      <w:r w:rsidR="00220D3A" w:rsidRPr="002A09FB">
        <w:rPr>
          <w:rFonts w:ascii="Cambria" w:hAnsi="Cambria"/>
          <w:sz w:val="22"/>
          <w:szCs w:val="22"/>
        </w:rPr>
        <w:t xml:space="preserve"> </w:t>
      </w:r>
      <w:r w:rsidRPr="002A09FB">
        <w:rPr>
          <w:rFonts w:ascii="Cambria" w:hAnsi="Cambria"/>
          <w:sz w:val="22"/>
          <w:szCs w:val="22"/>
        </w:rPr>
        <w:t xml:space="preserve">and </w:t>
      </w:r>
      <w:r w:rsidR="00220D3A">
        <w:rPr>
          <w:rFonts w:ascii="Cambria" w:hAnsi="Cambria"/>
          <w:sz w:val="22"/>
          <w:szCs w:val="22"/>
        </w:rPr>
        <w:t xml:space="preserve">APSOU </w:t>
      </w:r>
      <w:r w:rsidRPr="002A09FB">
        <w:rPr>
          <w:rFonts w:ascii="Cambria" w:hAnsi="Cambria"/>
          <w:sz w:val="22"/>
          <w:szCs w:val="22"/>
        </w:rPr>
        <w:t>Collective Bargaining Agreement (CBA)</w:t>
      </w:r>
      <w:r w:rsidR="00CC293E">
        <w:rPr>
          <w:rFonts w:ascii="Cambria" w:hAnsi="Cambria"/>
          <w:sz w:val="22"/>
          <w:szCs w:val="22"/>
        </w:rPr>
        <w:t xml:space="preserve"> for details</w:t>
      </w:r>
      <w:r w:rsidRPr="002A09FB">
        <w:rPr>
          <w:rFonts w:ascii="Cambria" w:hAnsi="Cambria"/>
          <w:sz w:val="22"/>
          <w:szCs w:val="22"/>
        </w:rPr>
        <w:t>.]</w:t>
      </w:r>
    </w:p>
    <w:p w14:paraId="04898ED2" w14:textId="77777777" w:rsidR="00884C93" w:rsidRPr="002A09FB" w:rsidRDefault="00884C93" w:rsidP="00CC293E">
      <w:pPr>
        <w:jc w:val="center"/>
        <w:rPr>
          <w:rFonts w:ascii="Cambria" w:hAnsi="Cambria"/>
          <w:sz w:val="22"/>
          <w:szCs w:val="22"/>
        </w:rPr>
      </w:pPr>
    </w:p>
    <w:p w14:paraId="2C38B242" w14:textId="77777777" w:rsidR="000841DF" w:rsidRPr="003712E3" w:rsidRDefault="000841DF" w:rsidP="00CC293E">
      <w:pPr>
        <w:widowControl/>
        <w:numPr>
          <w:ilvl w:val="0"/>
          <w:numId w:val="1"/>
        </w:numPr>
        <w:autoSpaceDE/>
        <w:autoSpaceDN/>
        <w:adjustRightInd/>
        <w:spacing w:after="60"/>
        <w:ind w:hanging="270"/>
        <w:rPr>
          <w:rFonts w:ascii="Cambria" w:hAnsi="Cambria"/>
          <w:b/>
          <w:sz w:val="22"/>
          <w:szCs w:val="22"/>
        </w:rPr>
      </w:pPr>
      <w:r w:rsidRPr="003712E3">
        <w:rPr>
          <w:rFonts w:ascii="Cambria" w:hAnsi="Cambria"/>
          <w:b/>
          <w:sz w:val="22"/>
          <w:szCs w:val="22"/>
        </w:rPr>
        <w:t>RENEWABLE APPOINTMENTS, 3-YEAR EXTENDABLE APPOINTMENTS, OR INDEFINITE TENURE</w:t>
      </w:r>
    </w:p>
    <w:p w14:paraId="161B48A6" w14:textId="38BFB9CA" w:rsidR="00BE1187" w:rsidRPr="002A09FB" w:rsidRDefault="00BE1187" w:rsidP="00CC293E">
      <w:pPr>
        <w:widowControl/>
        <w:numPr>
          <w:ilvl w:val="1"/>
          <w:numId w:val="1"/>
        </w:numPr>
        <w:autoSpaceDE/>
        <w:autoSpaceDN/>
        <w:adjustRightInd/>
        <w:spacing w:after="60"/>
        <w:ind w:left="720"/>
        <w:rPr>
          <w:rFonts w:ascii="Cambria" w:hAnsi="Cambria"/>
          <w:sz w:val="22"/>
          <w:szCs w:val="22"/>
        </w:rPr>
      </w:pPr>
      <w:r w:rsidRPr="002A09FB">
        <w:rPr>
          <w:rFonts w:ascii="Cambria" w:hAnsi="Cambria"/>
          <w:b/>
          <w:sz w:val="22"/>
          <w:szCs w:val="22"/>
          <w:u w:val="single"/>
        </w:rPr>
        <w:t>PROFESSORIAL FACULTY</w:t>
      </w:r>
      <w:r w:rsidR="00DA20FD">
        <w:rPr>
          <w:rFonts w:ascii="Cambria" w:hAnsi="Cambria"/>
          <w:sz w:val="22"/>
          <w:szCs w:val="22"/>
        </w:rPr>
        <w:t xml:space="preserve"> </w:t>
      </w:r>
      <w:r w:rsidRPr="002A09FB">
        <w:rPr>
          <w:rFonts w:ascii="Cambria" w:hAnsi="Cambria"/>
          <w:sz w:val="22"/>
          <w:szCs w:val="22"/>
        </w:rPr>
        <w:t xml:space="preserve">– </w:t>
      </w:r>
      <w:r w:rsidR="000841DF">
        <w:rPr>
          <w:rFonts w:ascii="Cambria" w:hAnsi="Cambria"/>
          <w:sz w:val="22"/>
          <w:szCs w:val="22"/>
        </w:rPr>
        <w:t>Associate</w:t>
      </w:r>
      <w:r w:rsidR="00DA20FD">
        <w:rPr>
          <w:rFonts w:ascii="Cambria" w:hAnsi="Cambria"/>
          <w:sz w:val="22"/>
          <w:szCs w:val="22"/>
        </w:rPr>
        <w:t xml:space="preserve"> Professor</w:t>
      </w:r>
      <w:r w:rsidR="000841DF">
        <w:rPr>
          <w:rFonts w:ascii="Cambria" w:hAnsi="Cambria"/>
          <w:sz w:val="22"/>
          <w:szCs w:val="22"/>
        </w:rPr>
        <w:t xml:space="preserve"> and Professor appointees must </w:t>
      </w:r>
      <w:r w:rsidRPr="002A09FB">
        <w:rPr>
          <w:rFonts w:ascii="Cambria" w:hAnsi="Cambria"/>
          <w:sz w:val="22"/>
          <w:szCs w:val="22"/>
        </w:rPr>
        <w:t>hold terminal degrees (or equivalent)</w:t>
      </w:r>
      <w:r w:rsidR="000841DF">
        <w:rPr>
          <w:rFonts w:ascii="Cambria" w:hAnsi="Cambria"/>
          <w:sz w:val="22"/>
          <w:szCs w:val="22"/>
        </w:rPr>
        <w:t xml:space="preserve">, Assistant </w:t>
      </w:r>
      <w:r w:rsidR="00DA20FD">
        <w:rPr>
          <w:rFonts w:ascii="Cambria" w:hAnsi="Cambria"/>
          <w:sz w:val="22"/>
          <w:szCs w:val="22"/>
        </w:rPr>
        <w:t xml:space="preserve">Professor </w:t>
      </w:r>
      <w:r w:rsidR="000841DF">
        <w:rPr>
          <w:rFonts w:ascii="Cambria" w:hAnsi="Cambria"/>
          <w:sz w:val="22"/>
          <w:szCs w:val="22"/>
        </w:rPr>
        <w:t xml:space="preserve">appointees may be ABD </w:t>
      </w:r>
      <w:r w:rsidR="004D5ABA">
        <w:rPr>
          <w:rFonts w:ascii="Cambria" w:hAnsi="Cambria"/>
          <w:sz w:val="22"/>
          <w:szCs w:val="22"/>
        </w:rPr>
        <w:t>if</w:t>
      </w:r>
      <w:r w:rsidR="000841DF">
        <w:rPr>
          <w:rFonts w:ascii="Cambria" w:hAnsi="Cambria"/>
          <w:sz w:val="22"/>
          <w:szCs w:val="22"/>
        </w:rPr>
        <w:t xml:space="preserve"> actively working toward completion of doctorate;</w:t>
      </w:r>
      <w:r w:rsidRPr="002A09FB">
        <w:rPr>
          <w:rFonts w:ascii="Cambria" w:hAnsi="Cambria"/>
          <w:sz w:val="22"/>
          <w:szCs w:val="22"/>
        </w:rPr>
        <w:t xml:space="preserve"> position includes scholarship</w:t>
      </w:r>
      <w:r w:rsidR="000841DF">
        <w:rPr>
          <w:rFonts w:ascii="Cambria" w:hAnsi="Cambria"/>
          <w:sz w:val="22"/>
          <w:szCs w:val="22"/>
        </w:rPr>
        <w:t xml:space="preserve"> and service</w:t>
      </w:r>
      <w:r w:rsidRPr="002A09FB">
        <w:rPr>
          <w:rFonts w:ascii="Cambria" w:hAnsi="Cambria"/>
          <w:sz w:val="22"/>
          <w:szCs w:val="22"/>
        </w:rPr>
        <w:t xml:space="preserve"> expectations; 1.0 FTE = 36 </w:t>
      </w:r>
      <w:r w:rsidR="007A6A29">
        <w:rPr>
          <w:rFonts w:ascii="Cambria" w:hAnsi="Cambria"/>
          <w:sz w:val="22"/>
          <w:szCs w:val="22"/>
        </w:rPr>
        <w:t xml:space="preserve">teaching </w:t>
      </w:r>
      <w:r w:rsidRPr="002A09FB">
        <w:rPr>
          <w:rFonts w:ascii="Cambria" w:hAnsi="Cambria"/>
          <w:sz w:val="22"/>
          <w:szCs w:val="22"/>
        </w:rPr>
        <w:t>ELU per academic year</w:t>
      </w:r>
    </w:p>
    <w:p w14:paraId="2FBEC466" w14:textId="53446713" w:rsidR="00BE1187" w:rsidRPr="002A09FB" w:rsidRDefault="00BE1187" w:rsidP="00CC293E">
      <w:pPr>
        <w:widowControl/>
        <w:numPr>
          <w:ilvl w:val="0"/>
          <w:numId w:val="2"/>
        </w:numPr>
        <w:autoSpaceDE/>
        <w:autoSpaceDN/>
        <w:adjustRightInd/>
        <w:spacing w:after="60"/>
        <w:ind w:left="1080"/>
        <w:rPr>
          <w:rFonts w:ascii="Cambria" w:hAnsi="Cambria"/>
          <w:sz w:val="22"/>
          <w:szCs w:val="22"/>
        </w:rPr>
      </w:pPr>
      <w:r w:rsidRPr="002A09FB">
        <w:rPr>
          <w:rFonts w:ascii="Cambria" w:hAnsi="Cambria"/>
          <w:b/>
          <w:sz w:val="22"/>
          <w:szCs w:val="22"/>
          <w:u w:val="single"/>
        </w:rPr>
        <w:t>Tenure-track, non-tenured</w:t>
      </w:r>
      <w:r w:rsidRPr="002A09FB">
        <w:rPr>
          <w:rFonts w:ascii="Cambria" w:hAnsi="Cambria"/>
          <w:sz w:val="22"/>
          <w:szCs w:val="22"/>
        </w:rPr>
        <w:t xml:space="preserve"> – includes all professorial track members (assistant, associate, full) that have not attained tenure</w:t>
      </w:r>
      <w:r w:rsidR="000841DF">
        <w:rPr>
          <w:rFonts w:ascii="Cambria" w:hAnsi="Cambria"/>
          <w:sz w:val="22"/>
          <w:szCs w:val="22"/>
        </w:rPr>
        <w:t xml:space="preserve"> and are</w:t>
      </w:r>
      <w:r w:rsidRPr="002A09FB">
        <w:rPr>
          <w:rFonts w:ascii="Cambria" w:hAnsi="Cambria"/>
          <w:sz w:val="22"/>
          <w:szCs w:val="22"/>
        </w:rPr>
        <w:t xml:space="preserve"> on a</w:t>
      </w:r>
      <w:r>
        <w:rPr>
          <w:rFonts w:ascii="Cambria" w:hAnsi="Cambria"/>
          <w:sz w:val="22"/>
          <w:szCs w:val="22"/>
        </w:rPr>
        <w:t xml:space="preserve"> “one-year, fixed-</w:t>
      </w:r>
      <w:r w:rsidRPr="002A09FB">
        <w:rPr>
          <w:rFonts w:ascii="Cambria" w:hAnsi="Cambria"/>
          <w:sz w:val="22"/>
          <w:szCs w:val="22"/>
        </w:rPr>
        <w:t>term</w:t>
      </w:r>
      <w:r>
        <w:rPr>
          <w:rFonts w:ascii="Cambria" w:hAnsi="Cambria"/>
          <w:sz w:val="22"/>
          <w:szCs w:val="22"/>
        </w:rPr>
        <w:t>, renewable appointment”;</w:t>
      </w:r>
      <w:r w:rsidRPr="002A09FB">
        <w:rPr>
          <w:rFonts w:ascii="Cambria" w:hAnsi="Cambria"/>
          <w:sz w:val="22"/>
          <w:szCs w:val="22"/>
        </w:rPr>
        <w:t xml:space="preserve"> </w:t>
      </w:r>
      <w:r>
        <w:rPr>
          <w:rFonts w:ascii="Cambria" w:hAnsi="Cambria"/>
          <w:sz w:val="22"/>
          <w:szCs w:val="22"/>
        </w:rPr>
        <w:t xml:space="preserve">this appointment </w:t>
      </w:r>
      <w:r w:rsidRPr="002A09FB">
        <w:rPr>
          <w:rFonts w:ascii="Cambria" w:hAnsi="Cambria"/>
          <w:sz w:val="22"/>
          <w:szCs w:val="22"/>
        </w:rPr>
        <w:t xml:space="preserve">is categorized according to </w:t>
      </w:r>
      <w:r w:rsidR="00064A7A">
        <w:rPr>
          <w:rFonts w:ascii="Cambria" w:hAnsi="Cambria"/>
          <w:sz w:val="22"/>
          <w:szCs w:val="22"/>
        </w:rPr>
        <w:t>their</w:t>
      </w:r>
      <w:r w:rsidRPr="002A09FB">
        <w:rPr>
          <w:rFonts w:ascii="Cambria" w:hAnsi="Cambria"/>
          <w:sz w:val="22"/>
          <w:szCs w:val="22"/>
        </w:rPr>
        <w:t xml:space="preserve"> year in service (1</w:t>
      </w:r>
      <w:r w:rsidRPr="002A09FB">
        <w:rPr>
          <w:rFonts w:ascii="Cambria" w:hAnsi="Cambria"/>
          <w:sz w:val="22"/>
          <w:szCs w:val="22"/>
          <w:vertAlign w:val="superscript"/>
        </w:rPr>
        <w:t>st</w:t>
      </w:r>
      <w:r w:rsidRPr="002A09FB">
        <w:rPr>
          <w:rFonts w:ascii="Cambria" w:hAnsi="Cambria"/>
          <w:sz w:val="22"/>
          <w:szCs w:val="22"/>
        </w:rPr>
        <w:t>, 2</w:t>
      </w:r>
      <w:r w:rsidRPr="002A09FB">
        <w:rPr>
          <w:rFonts w:ascii="Cambria" w:hAnsi="Cambria"/>
          <w:sz w:val="22"/>
          <w:szCs w:val="22"/>
          <w:vertAlign w:val="superscript"/>
        </w:rPr>
        <w:t>nd</w:t>
      </w:r>
      <w:r w:rsidRPr="002A09FB">
        <w:rPr>
          <w:rFonts w:ascii="Cambria" w:hAnsi="Cambria"/>
          <w:sz w:val="22"/>
          <w:szCs w:val="22"/>
        </w:rPr>
        <w:t>, 3</w:t>
      </w:r>
      <w:r w:rsidRPr="002A09FB">
        <w:rPr>
          <w:rFonts w:ascii="Cambria" w:hAnsi="Cambria"/>
          <w:sz w:val="22"/>
          <w:szCs w:val="22"/>
          <w:vertAlign w:val="superscript"/>
        </w:rPr>
        <w:t>rd</w:t>
      </w:r>
      <w:r w:rsidRPr="002A09FB">
        <w:rPr>
          <w:rFonts w:ascii="Cambria" w:hAnsi="Cambria"/>
          <w:sz w:val="22"/>
          <w:szCs w:val="22"/>
        </w:rPr>
        <w:t>, or 4</w:t>
      </w:r>
      <w:r w:rsidRPr="002A09FB">
        <w:rPr>
          <w:rFonts w:ascii="Cambria" w:hAnsi="Cambria"/>
          <w:sz w:val="22"/>
          <w:szCs w:val="22"/>
          <w:vertAlign w:val="superscript"/>
        </w:rPr>
        <w:t>th</w:t>
      </w:r>
      <w:r>
        <w:rPr>
          <w:rFonts w:ascii="Cambria" w:hAnsi="Cambria"/>
          <w:sz w:val="22"/>
          <w:szCs w:val="22"/>
        </w:rPr>
        <w:t xml:space="preserve"> and subsequent)</w:t>
      </w:r>
      <w:r w:rsidRPr="002A09FB">
        <w:rPr>
          <w:rFonts w:ascii="Cambria" w:hAnsi="Cambria"/>
          <w:sz w:val="22"/>
          <w:szCs w:val="22"/>
        </w:rPr>
        <w:t>; the number of years in this appointment type is important if giving notice for release – 1</w:t>
      </w:r>
      <w:r w:rsidRPr="002A09FB">
        <w:rPr>
          <w:rFonts w:ascii="Cambria" w:hAnsi="Cambria"/>
          <w:sz w:val="22"/>
          <w:szCs w:val="22"/>
          <w:vertAlign w:val="superscript"/>
        </w:rPr>
        <w:t>st</w:t>
      </w:r>
      <w:r w:rsidRPr="002A09FB">
        <w:rPr>
          <w:rFonts w:ascii="Cambria" w:hAnsi="Cambria"/>
          <w:sz w:val="22"/>
          <w:szCs w:val="22"/>
        </w:rPr>
        <w:t xml:space="preserve"> year requires notice to be given by March 1, 2</w:t>
      </w:r>
      <w:r w:rsidRPr="002A09FB">
        <w:rPr>
          <w:rFonts w:ascii="Cambria" w:hAnsi="Cambria"/>
          <w:sz w:val="22"/>
          <w:szCs w:val="22"/>
          <w:vertAlign w:val="superscript"/>
        </w:rPr>
        <w:t>nd</w:t>
      </w:r>
      <w:r w:rsidRPr="002A09FB">
        <w:rPr>
          <w:rFonts w:ascii="Cambria" w:hAnsi="Cambria"/>
          <w:sz w:val="22"/>
          <w:szCs w:val="22"/>
        </w:rPr>
        <w:t xml:space="preserve"> year requires notice to be given by December 1, and 3+ years requires notice to be given 12 months prior to release; </w:t>
      </w:r>
      <w:r w:rsidRPr="002A09FB">
        <w:rPr>
          <w:rFonts w:ascii="Cambria" w:hAnsi="Cambria"/>
          <w:b/>
          <w:i/>
          <w:sz w:val="22"/>
          <w:szCs w:val="22"/>
        </w:rPr>
        <w:t>annual chair evaluations are required and colleague evaluations are required at least every 5 years; FPARs are due annually</w:t>
      </w:r>
    </w:p>
    <w:p w14:paraId="44814A75" w14:textId="02331B20" w:rsidR="00BE1187" w:rsidRPr="002A09FB" w:rsidRDefault="00BE1187" w:rsidP="00CC293E">
      <w:pPr>
        <w:widowControl/>
        <w:numPr>
          <w:ilvl w:val="0"/>
          <w:numId w:val="2"/>
        </w:numPr>
        <w:autoSpaceDE/>
        <w:autoSpaceDN/>
        <w:adjustRightInd/>
        <w:spacing w:after="60"/>
        <w:ind w:left="1080"/>
        <w:rPr>
          <w:rFonts w:ascii="Cambria" w:hAnsi="Cambria"/>
          <w:sz w:val="22"/>
          <w:szCs w:val="22"/>
        </w:rPr>
      </w:pPr>
      <w:r w:rsidRPr="002A09FB">
        <w:rPr>
          <w:rFonts w:ascii="Cambria" w:hAnsi="Cambria"/>
          <w:b/>
          <w:sz w:val="22"/>
          <w:szCs w:val="22"/>
          <w:u w:val="single"/>
        </w:rPr>
        <w:t>Tenured</w:t>
      </w:r>
      <w:r w:rsidR="000B30EA">
        <w:rPr>
          <w:rFonts w:ascii="Cambria" w:hAnsi="Cambria"/>
          <w:b/>
          <w:sz w:val="22"/>
          <w:szCs w:val="22"/>
          <w:u w:val="single"/>
        </w:rPr>
        <w:t xml:space="preserve"> (indefinite tenure)</w:t>
      </w:r>
      <w:r w:rsidRPr="002A09FB">
        <w:rPr>
          <w:rFonts w:ascii="Cambria" w:hAnsi="Cambria"/>
          <w:sz w:val="22"/>
          <w:szCs w:val="22"/>
        </w:rPr>
        <w:t xml:space="preserve"> – includes all professorial track members (assistant, associate, full) that have attained tenure; </w:t>
      </w:r>
      <w:r w:rsidRPr="002A09FB">
        <w:rPr>
          <w:rFonts w:ascii="Cambria" w:hAnsi="Cambria"/>
          <w:sz w:val="22"/>
          <w:szCs w:val="22"/>
          <w:u w:val="single"/>
        </w:rPr>
        <w:t>no</w:t>
      </w:r>
      <w:r w:rsidRPr="002A09FB">
        <w:rPr>
          <w:rFonts w:ascii="Cambria" w:hAnsi="Cambria"/>
          <w:sz w:val="22"/>
          <w:szCs w:val="22"/>
        </w:rPr>
        <w:t xml:space="preserve"> annual chair evaluations are required; </w:t>
      </w:r>
      <w:r w:rsidRPr="002A09FB">
        <w:rPr>
          <w:rFonts w:ascii="Cambria" w:hAnsi="Cambria"/>
          <w:b/>
          <w:i/>
          <w:sz w:val="22"/>
          <w:szCs w:val="22"/>
        </w:rPr>
        <w:t>colleague evaluations are required at least every 5 years; FPARs are due annually</w:t>
      </w:r>
    </w:p>
    <w:p w14:paraId="2F123655" w14:textId="49E3E411" w:rsidR="00BE1187" w:rsidRPr="002A09FB" w:rsidRDefault="00BE1187" w:rsidP="00CC293E">
      <w:pPr>
        <w:widowControl/>
        <w:numPr>
          <w:ilvl w:val="1"/>
          <w:numId w:val="1"/>
        </w:numPr>
        <w:autoSpaceDE/>
        <w:autoSpaceDN/>
        <w:adjustRightInd/>
        <w:spacing w:after="60"/>
        <w:ind w:left="720"/>
        <w:rPr>
          <w:rFonts w:ascii="Cambria" w:hAnsi="Cambria"/>
          <w:sz w:val="22"/>
          <w:szCs w:val="22"/>
        </w:rPr>
      </w:pPr>
      <w:r w:rsidRPr="002A09FB">
        <w:rPr>
          <w:rFonts w:ascii="Cambria" w:hAnsi="Cambria"/>
          <w:b/>
          <w:sz w:val="22"/>
          <w:szCs w:val="22"/>
          <w:u w:val="single"/>
        </w:rPr>
        <w:t>PROFESSIONAL FACULTY</w:t>
      </w:r>
      <w:r w:rsidRPr="002A09FB">
        <w:rPr>
          <w:rFonts w:ascii="Cambria" w:hAnsi="Cambria"/>
          <w:sz w:val="22"/>
          <w:szCs w:val="22"/>
        </w:rPr>
        <w:t xml:space="preserve"> – </w:t>
      </w:r>
      <w:r w:rsidR="00DA20FD" w:rsidRPr="002A09FB">
        <w:rPr>
          <w:rFonts w:ascii="Cambria" w:hAnsi="Cambria"/>
          <w:sz w:val="22"/>
          <w:szCs w:val="22"/>
        </w:rPr>
        <w:t>Instructor, Senior Instructor 1 and Senior Instructor 2</w:t>
      </w:r>
      <w:r w:rsidR="00DA20FD">
        <w:rPr>
          <w:rFonts w:ascii="Cambria" w:hAnsi="Cambria"/>
          <w:sz w:val="22"/>
          <w:szCs w:val="22"/>
        </w:rPr>
        <w:t xml:space="preserve"> appointees </w:t>
      </w:r>
      <w:r w:rsidRPr="002A09FB">
        <w:rPr>
          <w:rFonts w:ascii="Cambria" w:hAnsi="Cambria"/>
          <w:sz w:val="22"/>
          <w:szCs w:val="22"/>
        </w:rPr>
        <w:t>are not required to hold terminal degrees</w:t>
      </w:r>
      <w:r w:rsidR="00DA20FD">
        <w:rPr>
          <w:rFonts w:ascii="Cambria" w:hAnsi="Cambria"/>
          <w:sz w:val="22"/>
          <w:szCs w:val="22"/>
        </w:rPr>
        <w:t xml:space="preserve">; </w:t>
      </w:r>
      <w:r w:rsidRPr="002A09FB">
        <w:rPr>
          <w:rFonts w:ascii="Cambria" w:hAnsi="Cambria"/>
          <w:sz w:val="22"/>
          <w:szCs w:val="22"/>
        </w:rPr>
        <w:t xml:space="preserve">position </w:t>
      </w:r>
      <w:r w:rsidR="00CF61F0">
        <w:rPr>
          <w:rFonts w:ascii="Cambria" w:hAnsi="Cambria"/>
          <w:sz w:val="22"/>
          <w:szCs w:val="22"/>
        </w:rPr>
        <w:t>includes service, but no</w:t>
      </w:r>
      <w:r w:rsidRPr="002A09FB">
        <w:rPr>
          <w:rFonts w:ascii="Cambria" w:hAnsi="Cambria"/>
          <w:sz w:val="22"/>
          <w:szCs w:val="22"/>
        </w:rPr>
        <w:t xml:space="preserve"> scholarship expectations; 1.0 FTE = 44-45 </w:t>
      </w:r>
      <w:r w:rsidR="007A6A29">
        <w:rPr>
          <w:rFonts w:ascii="Cambria" w:hAnsi="Cambria"/>
          <w:sz w:val="22"/>
          <w:szCs w:val="22"/>
        </w:rPr>
        <w:t xml:space="preserve">teaching </w:t>
      </w:r>
      <w:r w:rsidRPr="002A09FB">
        <w:rPr>
          <w:rFonts w:ascii="Cambria" w:hAnsi="Cambria"/>
          <w:sz w:val="22"/>
          <w:szCs w:val="22"/>
        </w:rPr>
        <w:t>ELU per academic year</w:t>
      </w:r>
    </w:p>
    <w:p w14:paraId="68BB2DD3" w14:textId="24D3A0E0" w:rsidR="00BE1187" w:rsidRPr="002A09FB" w:rsidRDefault="00CF61F0" w:rsidP="00CC293E">
      <w:pPr>
        <w:widowControl/>
        <w:numPr>
          <w:ilvl w:val="0"/>
          <w:numId w:val="9"/>
        </w:numPr>
        <w:autoSpaceDE/>
        <w:autoSpaceDN/>
        <w:adjustRightInd/>
        <w:spacing w:after="60"/>
        <w:ind w:left="1080"/>
        <w:rPr>
          <w:rFonts w:ascii="Cambria" w:hAnsi="Cambria"/>
          <w:sz w:val="22"/>
          <w:szCs w:val="22"/>
        </w:rPr>
      </w:pPr>
      <w:r>
        <w:rPr>
          <w:rFonts w:ascii="Cambria" w:hAnsi="Cambria"/>
          <w:b/>
          <w:sz w:val="22"/>
          <w:szCs w:val="22"/>
          <w:u w:val="single"/>
        </w:rPr>
        <w:t>One-year, fixed-term, renewable appointment</w:t>
      </w:r>
      <w:r>
        <w:rPr>
          <w:rFonts w:ascii="Cambria" w:hAnsi="Cambria"/>
          <w:b/>
          <w:sz w:val="22"/>
          <w:szCs w:val="22"/>
        </w:rPr>
        <w:t xml:space="preserve"> </w:t>
      </w:r>
      <w:r>
        <w:rPr>
          <w:rFonts w:ascii="Cambria" w:hAnsi="Cambria"/>
          <w:sz w:val="22"/>
          <w:szCs w:val="22"/>
        </w:rPr>
        <w:t>–</w:t>
      </w:r>
      <w:r w:rsidR="00BE1187" w:rsidRPr="002A09FB">
        <w:rPr>
          <w:rFonts w:ascii="Cambria" w:hAnsi="Cambria"/>
          <w:sz w:val="22"/>
          <w:szCs w:val="22"/>
        </w:rPr>
        <w:t xml:space="preserve"> </w:t>
      </w:r>
      <w:r>
        <w:rPr>
          <w:rFonts w:ascii="Cambria" w:hAnsi="Cambria"/>
          <w:sz w:val="22"/>
          <w:szCs w:val="22"/>
        </w:rPr>
        <w:t xml:space="preserve">typically includes professional track Instructors only; upon promotion to Senior Instructor 1, these faculty receive a 3-year extendable appointment but if hired as a Senior Instructor 1, then a 1-year, fixed-term, renewable appointment is issued; </w:t>
      </w:r>
      <w:r w:rsidR="00BE1187">
        <w:rPr>
          <w:rFonts w:ascii="Cambria" w:hAnsi="Cambria"/>
          <w:sz w:val="22"/>
          <w:szCs w:val="22"/>
        </w:rPr>
        <w:t xml:space="preserve">this appointment </w:t>
      </w:r>
      <w:r w:rsidR="00BE1187" w:rsidRPr="002A09FB">
        <w:rPr>
          <w:rFonts w:ascii="Cambria" w:hAnsi="Cambria"/>
          <w:sz w:val="22"/>
          <w:szCs w:val="22"/>
        </w:rPr>
        <w:t xml:space="preserve">is </w:t>
      </w:r>
      <w:r w:rsidR="00064A7A">
        <w:rPr>
          <w:rFonts w:ascii="Cambria" w:hAnsi="Cambria"/>
          <w:sz w:val="22"/>
          <w:szCs w:val="22"/>
        </w:rPr>
        <w:t>categorized according to their</w:t>
      </w:r>
      <w:r w:rsidR="00BE1187" w:rsidRPr="002A09FB">
        <w:rPr>
          <w:rFonts w:ascii="Cambria" w:hAnsi="Cambria"/>
          <w:sz w:val="22"/>
          <w:szCs w:val="22"/>
        </w:rPr>
        <w:t xml:space="preserve"> year </w:t>
      </w:r>
      <w:r w:rsidR="00BE1187">
        <w:rPr>
          <w:rFonts w:ascii="Cambria" w:hAnsi="Cambria"/>
          <w:sz w:val="22"/>
          <w:szCs w:val="22"/>
        </w:rPr>
        <w:t xml:space="preserve">in </w:t>
      </w:r>
      <w:r w:rsidR="00BE1187" w:rsidRPr="002A09FB">
        <w:rPr>
          <w:rFonts w:ascii="Cambria" w:hAnsi="Cambria"/>
          <w:sz w:val="22"/>
          <w:szCs w:val="22"/>
        </w:rPr>
        <w:t>service (1</w:t>
      </w:r>
      <w:r w:rsidR="00BE1187" w:rsidRPr="002A09FB">
        <w:rPr>
          <w:rFonts w:ascii="Cambria" w:hAnsi="Cambria"/>
          <w:sz w:val="22"/>
          <w:szCs w:val="22"/>
          <w:vertAlign w:val="superscript"/>
        </w:rPr>
        <w:t>st</w:t>
      </w:r>
      <w:r w:rsidR="00BE1187" w:rsidRPr="002A09FB">
        <w:rPr>
          <w:rFonts w:ascii="Cambria" w:hAnsi="Cambria"/>
          <w:sz w:val="22"/>
          <w:szCs w:val="22"/>
        </w:rPr>
        <w:t>, 2</w:t>
      </w:r>
      <w:r w:rsidR="00BE1187" w:rsidRPr="002A09FB">
        <w:rPr>
          <w:rFonts w:ascii="Cambria" w:hAnsi="Cambria"/>
          <w:sz w:val="22"/>
          <w:szCs w:val="22"/>
          <w:vertAlign w:val="superscript"/>
        </w:rPr>
        <w:t>nd</w:t>
      </w:r>
      <w:r w:rsidR="00BE1187" w:rsidRPr="002A09FB">
        <w:rPr>
          <w:rFonts w:ascii="Cambria" w:hAnsi="Cambria"/>
          <w:sz w:val="22"/>
          <w:szCs w:val="22"/>
        </w:rPr>
        <w:t>, 3</w:t>
      </w:r>
      <w:r w:rsidR="00BE1187" w:rsidRPr="002A09FB">
        <w:rPr>
          <w:rFonts w:ascii="Cambria" w:hAnsi="Cambria"/>
          <w:sz w:val="22"/>
          <w:szCs w:val="22"/>
          <w:vertAlign w:val="superscript"/>
        </w:rPr>
        <w:t>rd</w:t>
      </w:r>
      <w:r w:rsidR="00BE1187" w:rsidRPr="002A09FB">
        <w:rPr>
          <w:rFonts w:ascii="Cambria" w:hAnsi="Cambria"/>
          <w:sz w:val="22"/>
          <w:szCs w:val="22"/>
        </w:rPr>
        <w:t>, or 4</w:t>
      </w:r>
      <w:r w:rsidR="00BE1187" w:rsidRPr="002A09FB">
        <w:rPr>
          <w:rFonts w:ascii="Cambria" w:hAnsi="Cambria"/>
          <w:sz w:val="22"/>
          <w:szCs w:val="22"/>
          <w:vertAlign w:val="superscript"/>
        </w:rPr>
        <w:t>th</w:t>
      </w:r>
      <w:r w:rsidR="00BE1187">
        <w:rPr>
          <w:rFonts w:ascii="Cambria" w:hAnsi="Cambria"/>
          <w:sz w:val="22"/>
          <w:szCs w:val="22"/>
        </w:rPr>
        <w:t xml:space="preserve"> and subsequent)</w:t>
      </w:r>
      <w:r w:rsidR="00BE1187" w:rsidRPr="002A09FB">
        <w:rPr>
          <w:rFonts w:ascii="Cambria" w:hAnsi="Cambria"/>
          <w:sz w:val="22"/>
          <w:szCs w:val="22"/>
        </w:rPr>
        <w:t>; the number of years in this appointment type is important if giving notice for release – 1</w:t>
      </w:r>
      <w:r w:rsidR="00BE1187" w:rsidRPr="002A09FB">
        <w:rPr>
          <w:rFonts w:ascii="Cambria" w:hAnsi="Cambria"/>
          <w:sz w:val="22"/>
          <w:szCs w:val="22"/>
          <w:vertAlign w:val="superscript"/>
        </w:rPr>
        <w:t>st</w:t>
      </w:r>
      <w:r w:rsidR="00BE1187" w:rsidRPr="002A09FB">
        <w:rPr>
          <w:rFonts w:ascii="Cambria" w:hAnsi="Cambria"/>
          <w:sz w:val="22"/>
          <w:szCs w:val="22"/>
        </w:rPr>
        <w:t xml:space="preserve"> year requires notice to be given by March 1, 2</w:t>
      </w:r>
      <w:r w:rsidR="00BE1187" w:rsidRPr="002A09FB">
        <w:rPr>
          <w:rFonts w:ascii="Cambria" w:hAnsi="Cambria"/>
          <w:sz w:val="22"/>
          <w:szCs w:val="22"/>
          <w:vertAlign w:val="superscript"/>
        </w:rPr>
        <w:t>nd</w:t>
      </w:r>
      <w:r w:rsidR="00BE1187" w:rsidRPr="002A09FB">
        <w:rPr>
          <w:rFonts w:ascii="Cambria" w:hAnsi="Cambria"/>
          <w:sz w:val="22"/>
          <w:szCs w:val="22"/>
        </w:rPr>
        <w:t xml:space="preserve"> year requires notice to be given by December 1, and 3+ years requires notice to be given 12 months prior to release; </w:t>
      </w:r>
      <w:r w:rsidR="00BE1187" w:rsidRPr="002A09FB">
        <w:rPr>
          <w:rFonts w:ascii="Cambria" w:hAnsi="Cambria"/>
          <w:b/>
          <w:i/>
          <w:sz w:val="22"/>
          <w:szCs w:val="22"/>
        </w:rPr>
        <w:t>annual chair evaluations are required and colleague evaluations are required at least every 5 years; FPARs are due annually</w:t>
      </w:r>
    </w:p>
    <w:p w14:paraId="6FD9D469" w14:textId="65CF6A05" w:rsidR="00BE1187" w:rsidRPr="002A09FB" w:rsidRDefault="00CF61F0" w:rsidP="00CC293E">
      <w:pPr>
        <w:widowControl/>
        <w:numPr>
          <w:ilvl w:val="0"/>
          <w:numId w:val="9"/>
        </w:numPr>
        <w:autoSpaceDE/>
        <w:autoSpaceDN/>
        <w:adjustRightInd/>
        <w:spacing w:after="60"/>
        <w:ind w:left="1080"/>
        <w:rPr>
          <w:rFonts w:ascii="Cambria" w:hAnsi="Cambria"/>
          <w:sz w:val="22"/>
          <w:szCs w:val="22"/>
        </w:rPr>
      </w:pPr>
      <w:r>
        <w:rPr>
          <w:rFonts w:ascii="Cambria" w:hAnsi="Cambria"/>
          <w:b/>
          <w:sz w:val="22"/>
          <w:szCs w:val="22"/>
          <w:u w:val="single"/>
        </w:rPr>
        <w:t>Three-year extendable appointment</w:t>
      </w:r>
      <w:r w:rsidR="00BE1187" w:rsidRPr="002A09FB">
        <w:rPr>
          <w:rFonts w:ascii="Cambria" w:hAnsi="Cambria"/>
          <w:sz w:val="22"/>
          <w:szCs w:val="22"/>
        </w:rPr>
        <w:t xml:space="preserve"> – </w:t>
      </w:r>
      <w:r>
        <w:rPr>
          <w:rFonts w:ascii="Cambria" w:hAnsi="Cambria"/>
          <w:sz w:val="22"/>
          <w:szCs w:val="22"/>
        </w:rPr>
        <w:t>typically includes all professional track Senior Instructors 1 &amp; 2 (see exception noted above);</w:t>
      </w:r>
      <w:r w:rsidRPr="002A09FB">
        <w:rPr>
          <w:rFonts w:ascii="Cambria" w:hAnsi="Cambria"/>
          <w:sz w:val="22"/>
          <w:szCs w:val="22"/>
        </w:rPr>
        <w:t xml:space="preserve"> </w:t>
      </w:r>
      <w:r w:rsidR="00BE1187" w:rsidRPr="002A09FB">
        <w:rPr>
          <w:rFonts w:ascii="Cambria" w:hAnsi="Cambria"/>
          <w:sz w:val="22"/>
          <w:szCs w:val="22"/>
          <w:u w:val="single"/>
        </w:rPr>
        <w:t>no</w:t>
      </w:r>
      <w:r w:rsidR="00BE1187" w:rsidRPr="002A09FB">
        <w:rPr>
          <w:rFonts w:ascii="Cambria" w:hAnsi="Cambria"/>
          <w:sz w:val="22"/>
          <w:szCs w:val="22"/>
        </w:rPr>
        <w:t xml:space="preserve"> annual</w:t>
      </w:r>
      <w:r>
        <w:rPr>
          <w:rFonts w:ascii="Cambria" w:hAnsi="Cambria"/>
          <w:sz w:val="22"/>
          <w:szCs w:val="22"/>
        </w:rPr>
        <w:t xml:space="preserve"> chair evaluations are required;</w:t>
      </w:r>
      <w:r w:rsidR="00BE1187">
        <w:rPr>
          <w:rFonts w:ascii="Cambria" w:hAnsi="Cambria"/>
          <w:sz w:val="22"/>
          <w:szCs w:val="22"/>
        </w:rPr>
        <w:t xml:space="preserve"> </w:t>
      </w:r>
      <w:r w:rsidR="00BE1187" w:rsidRPr="002A09FB">
        <w:rPr>
          <w:rFonts w:ascii="Cambria" w:hAnsi="Cambria"/>
          <w:b/>
          <w:i/>
          <w:sz w:val="22"/>
          <w:szCs w:val="22"/>
        </w:rPr>
        <w:t>colleague evaluations are required at least every 5 years; FPARs are due annually</w:t>
      </w:r>
      <w:r w:rsidR="00BE1187" w:rsidRPr="002A09FB">
        <w:rPr>
          <w:rFonts w:ascii="Cambria" w:hAnsi="Cambria"/>
          <w:sz w:val="22"/>
          <w:szCs w:val="22"/>
        </w:rPr>
        <w:t xml:space="preserve"> </w:t>
      </w:r>
    </w:p>
    <w:p w14:paraId="12B6BB68" w14:textId="13ED3080" w:rsidR="0046718A" w:rsidRPr="003712E3" w:rsidRDefault="000841DF" w:rsidP="00CC293E">
      <w:pPr>
        <w:widowControl/>
        <w:numPr>
          <w:ilvl w:val="0"/>
          <w:numId w:val="1"/>
        </w:numPr>
        <w:autoSpaceDE/>
        <w:autoSpaceDN/>
        <w:adjustRightInd/>
        <w:spacing w:after="60"/>
        <w:ind w:hanging="270"/>
        <w:rPr>
          <w:rFonts w:ascii="Cambria" w:hAnsi="Cambria"/>
          <w:b/>
          <w:sz w:val="22"/>
          <w:szCs w:val="22"/>
        </w:rPr>
      </w:pPr>
      <w:r w:rsidRPr="003712E3">
        <w:rPr>
          <w:rFonts w:ascii="Cambria" w:hAnsi="Cambria"/>
          <w:b/>
          <w:sz w:val="22"/>
          <w:szCs w:val="22"/>
          <w:u w:val="single"/>
        </w:rPr>
        <w:t>NON-RENEWABLE OR</w:t>
      </w:r>
      <w:r w:rsidR="00BE1187" w:rsidRPr="003712E3">
        <w:rPr>
          <w:rFonts w:ascii="Cambria" w:hAnsi="Cambria"/>
          <w:b/>
          <w:sz w:val="22"/>
          <w:szCs w:val="22"/>
          <w:u w:val="single"/>
        </w:rPr>
        <w:t xml:space="preserve"> TERM X TERM</w:t>
      </w:r>
      <w:r w:rsidRPr="003712E3">
        <w:rPr>
          <w:rFonts w:ascii="Cambria" w:hAnsi="Cambria"/>
          <w:b/>
          <w:sz w:val="22"/>
          <w:szCs w:val="22"/>
          <w:u w:val="single"/>
        </w:rPr>
        <w:t xml:space="preserve"> APPOINTMENT</w:t>
      </w:r>
      <w:r w:rsidR="00BE1187" w:rsidRPr="003712E3">
        <w:rPr>
          <w:rFonts w:ascii="Cambria" w:hAnsi="Cambria"/>
          <w:b/>
          <w:sz w:val="22"/>
          <w:szCs w:val="22"/>
          <w:u w:val="single"/>
        </w:rPr>
        <w:t>S</w:t>
      </w:r>
    </w:p>
    <w:p w14:paraId="0740309E" w14:textId="74DD0C66" w:rsidR="00BE1187" w:rsidRPr="00E644DD" w:rsidRDefault="00BE1187" w:rsidP="008B06CC">
      <w:pPr>
        <w:widowControl/>
        <w:tabs>
          <w:tab w:val="left" w:pos="1890"/>
        </w:tabs>
        <w:autoSpaceDE/>
        <w:autoSpaceDN/>
        <w:adjustRightInd/>
        <w:spacing w:after="120"/>
        <w:ind w:left="360"/>
        <w:rPr>
          <w:rFonts w:ascii="Cambria" w:hAnsi="Cambria"/>
          <w:sz w:val="22"/>
          <w:szCs w:val="22"/>
        </w:rPr>
      </w:pPr>
      <w:r w:rsidRPr="002A09FB">
        <w:rPr>
          <w:rFonts w:ascii="Cambria" w:hAnsi="Cambria"/>
          <w:sz w:val="22"/>
          <w:szCs w:val="22"/>
        </w:rPr>
        <w:t>“</w:t>
      </w:r>
      <w:r w:rsidR="00884C93">
        <w:rPr>
          <w:rFonts w:ascii="Cambria" w:hAnsi="Cambria"/>
          <w:sz w:val="22"/>
          <w:szCs w:val="22"/>
        </w:rPr>
        <w:t>A</w:t>
      </w:r>
      <w:r w:rsidRPr="002A09FB">
        <w:rPr>
          <w:rFonts w:ascii="Cambria" w:hAnsi="Cambria"/>
          <w:sz w:val="22"/>
          <w:szCs w:val="22"/>
        </w:rPr>
        <w:t>djunct”</w:t>
      </w:r>
      <w:r w:rsidR="00884C93">
        <w:rPr>
          <w:rFonts w:ascii="Cambria" w:hAnsi="Cambria"/>
          <w:sz w:val="22"/>
          <w:szCs w:val="22"/>
        </w:rPr>
        <w:t xml:space="preserve"> faculty are</w:t>
      </w:r>
      <w:r w:rsidRPr="002A09FB">
        <w:rPr>
          <w:rFonts w:ascii="Cambria" w:hAnsi="Cambria"/>
          <w:sz w:val="22"/>
          <w:szCs w:val="22"/>
        </w:rPr>
        <w:t xml:space="preserve"> temporary employees</w:t>
      </w:r>
      <w:r w:rsidR="00E644DD">
        <w:rPr>
          <w:rFonts w:ascii="Cambria" w:hAnsi="Cambria"/>
          <w:sz w:val="22"/>
          <w:szCs w:val="22"/>
        </w:rPr>
        <w:t xml:space="preserve"> </w:t>
      </w:r>
      <w:r w:rsidR="00EA62BC">
        <w:rPr>
          <w:rFonts w:ascii="Cambria" w:hAnsi="Cambria"/>
          <w:sz w:val="22"/>
          <w:szCs w:val="22"/>
        </w:rPr>
        <w:t>appointed</w:t>
      </w:r>
      <w:r w:rsidR="00EA62BC" w:rsidRPr="002A09FB">
        <w:rPr>
          <w:rFonts w:ascii="Cambria" w:hAnsi="Cambria"/>
          <w:sz w:val="22"/>
          <w:szCs w:val="22"/>
        </w:rPr>
        <w:t xml:space="preserve"> </w:t>
      </w:r>
      <w:r w:rsidRPr="002A09FB">
        <w:rPr>
          <w:rFonts w:ascii="Cambria" w:hAnsi="Cambria"/>
          <w:sz w:val="22"/>
          <w:szCs w:val="22"/>
        </w:rPr>
        <w:t xml:space="preserve">for </w:t>
      </w:r>
      <w:r w:rsidR="00EA62BC">
        <w:rPr>
          <w:rFonts w:ascii="Cambria" w:hAnsi="Cambria"/>
          <w:sz w:val="22"/>
          <w:szCs w:val="22"/>
        </w:rPr>
        <w:t>one, two or three terms</w:t>
      </w:r>
      <w:r w:rsidR="00CA223C">
        <w:rPr>
          <w:rFonts w:ascii="Cambria" w:hAnsi="Cambria"/>
          <w:sz w:val="22"/>
          <w:szCs w:val="22"/>
        </w:rPr>
        <w:t xml:space="preserve">; </w:t>
      </w:r>
      <w:r w:rsidR="00884C93">
        <w:rPr>
          <w:rFonts w:ascii="Cambria" w:hAnsi="Cambria"/>
          <w:sz w:val="22"/>
          <w:szCs w:val="22"/>
        </w:rPr>
        <w:t>they are employed</w:t>
      </w:r>
      <w:r w:rsidR="00CA223C">
        <w:rPr>
          <w:rFonts w:ascii="Cambria" w:hAnsi="Cambria"/>
          <w:sz w:val="22"/>
          <w:szCs w:val="22"/>
        </w:rPr>
        <w:t xml:space="preserve"> to manage</w:t>
      </w:r>
      <w:r w:rsidR="00CA223C" w:rsidRPr="00D477EE">
        <w:rPr>
          <w:rFonts w:ascii="Cambria" w:hAnsi="Cambria"/>
          <w:sz w:val="22"/>
          <w:szCs w:val="22"/>
        </w:rPr>
        <w:t xml:space="preserve"> enrollment fluctuations</w:t>
      </w:r>
      <w:r w:rsidR="00CA223C">
        <w:rPr>
          <w:rFonts w:ascii="Cambria" w:hAnsi="Cambria"/>
          <w:sz w:val="22"/>
          <w:szCs w:val="22"/>
        </w:rPr>
        <w:t xml:space="preserve"> </w:t>
      </w:r>
      <w:r w:rsidR="00CA223C" w:rsidRPr="00D477EE">
        <w:rPr>
          <w:rFonts w:ascii="Cambria" w:hAnsi="Cambria"/>
          <w:sz w:val="22"/>
          <w:szCs w:val="22"/>
        </w:rPr>
        <w:t>and fill temporary vacancies</w:t>
      </w:r>
      <w:r w:rsidR="00CA223C">
        <w:rPr>
          <w:rFonts w:ascii="Cambria" w:hAnsi="Cambria"/>
          <w:sz w:val="22"/>
          <w:szCs w:val="22"/>
        </w:rPr>
        <w:t xml:space="preserve">; </w:t>
      </w:r>
      <w:r w:rsidR="00A234D6">
        <w:rPr>
          <w:rFonts w:ascii="Cambria" w:hAnsi="Cambria"/>
          <w:sz w:val="22"/>
          <w:szCs w:val="22"/>
        </w:rPr>
        <w:t xml:space="preserve">they </w:t>
      </w:r>
      <w:r w:rsidR="00CA223C">
        <w:rPr>
          <w:rFonts w:ascii="Cambria" w:hAnsi="Cambria"/>
          <w:sz w:val="22"/>
          <w:szCs w:val="22"/>
        </w:rPr>
        <w:t>m</w:t>
      </w:r>
      <w:r w:rsidR="00FC3A89">
        <w:rPr>
          <w:rFonts w:ascii="Cambria" w:hAnsi="Cambria"/>
          <w:sz w:val="22"/>
          <w:szCs w:val="22"/>
        </w:rPr>
        <w:t xml:space="preserve">ay or may not be </w:t>
      </w:r>
      <w:r w:rsidR="00890BFA">
        <w:rPr>
          <w:rFonts w:ascii="Cambria" w:hAnsi="Cambria"/>
          <w:sz w:val="22"/>
          <w:szCs w:val="22"/>
        </w:rPr>
        <w:t>reappointed</w:t>
      </w:r>
      <w:r w:rsidR="00CA223C" w:rsidRPr="00DA20FD">
        <w:rPr>
          <w:rFonts w:ascii="Cambria" w:hAnsi="Cambria"/>
          <w:sz w:val="22"/>
          <w:szCs w:val="22"/>
        </w:rPr>
        <w:t xml:space="preserve">.  </w:t>
      </w:r>
    </w:p>
    <w:p w14:paraId="4495DAD7" w14:textId="342876B1" w:rsidR="006E4BA8" w:rsidRPr="002A09FB" w:rsidRDefault="00BE1187" w:rsidP="00CC293E">
      <w:pPr>
        <w:widowControl/>
        <w:numPr>
          <w:ilvl w:val="1"/>
          <w:numId w:val="1"/>
        </w:numPr>
        <w:autoSpaceDE/>
        <w:autoSpaceDN/>
        <w:adjustRightInd/>
        <w:spacing w:after="60"/>
        <w:ind w:left="720"/>
        <w:rPr>
          <w:rFonts w:ascii="Cambria" w:hAnsi="Cambria"/>
          <w:sz w:val="22"/>
          <w:szCs w:val="22"/>
        </w:rPr>
      </w:pPr>
      <w:r w:rsidRPr="002A09FB">
        <w:rPr>
          <w:rFonts w:ascii="Cambria" w:hAnsi="Cambria"/>
          <w:sz w:val="22"/>
          <w:szCs w:val="22"/>
        </w:rPr>
        <w:t xml:space="preserve"> </w:t>
      </w:r>
      <w:r w:rsidR="006E4BA8" w:rsidRPr="002A09FB">
        <w:rPr>
          <w:rFonts w:ascii="Cambria" w:hAnsi="Cambria"/>
          <w:b/>
          <w:sz w:val="22"/>
          <w:szCs w:val="22"/>
          <w:u w:val="single"/>
        </w:rPr>
        <w:t>Term X Term Faculty</w:t>
      </w:r>
      <w:r w:rsidR="00CA223C">
        <w:rPr>
          <w:rFonts w:ascii="Cambria" w:hAnsi="Cambria"/>
          <w:b/>
          <w:sz w:val="22"/>
          <w:szCs w:val="22"/>
          <w:u w:val="single"/>
        </w:rPr>
        <w:t xml:space="preserve"> (</w:t>
      </w:r>
      <w:r w:rsidR="00064A7A">
        <w:rPr>
          <w:rFonts w:ascii="Cambria" w:hAnsi="Cambria"/>
          <w:b/>
          <w:sz w:val="22"/>
          <w:szCs w:val="22"/>
          <w:u w:val="single"/>
        </w:rPr>
        <w:t>typical</w:t>
      </w:r>
      <w:r w:rsidR="00CA223C">
        <w:rPr>
          <w:rFonts w:ascii="Cambria" w:hAnsi="Cambria"/>
          <w:b/>
          <w:sz w:val="22"/>
          <w:szCs w:val="22"/>
          <w:u w:val="single"/>
        </w:rPr>
        <w:t>)</w:t>
      </w:r>
      <w:r w:rsidR="006E4BA8" w:rsidRPr="002A09FB">
        <w:rPr>
          <w:rFonts w:ascii="Cambria" w:hAnsi="Cambria"/>
          <w:sz w:val="22"/>
          <w:szCs w:val="22"/>
        </w:rPr>
        <w:t xml:space="preserve"> – temporary faculty</w:t>
      </w:r>
      <w:r w:rsidR="00EA62BC">
        <w:rPr>
          <w:rFonts w:ascii="Cambria" w:hAnsi="Cambria"/>
          <w:sz w:val="22"/>
          <w:szCs w:val="22"/>
        </w:rPr>
        <w:t xml:space="preserve"> appointed </w:t>
      </w:r>
      <w:r w:rsidR="006E4BA8" w:rsidRPr="002A09FB">
        <w:rPr>
          <w:rFonts w:ascii="Cambria" w:hAnsi="Cambria"/>
          <w:sz w:val="22"/>
          <w:szCs w:val="22"/>
        </w:rPr>
        <w:t>a</w:t>
      </w:r>
      <w:r w:rsidR="00CA223C">
        <w:rPr>
          <w:rFonts w:ascii="Cambria" w:hAnsi="Cambria"/>
          <w:sz w:val="22"/>
          <w:szCs w:val="22"/>
        </w:rPr>
        <w:t>t</w:t>
      </w:r>
      <w:r w:rsidR="006E4BA8" w:rsidRPr="002A09FB">
        <w:rPr>
          <w:rFonts w:ascii="Cambria" w:hAnsi="Cambria"/>
          <w:sz w:val="22"/>
          <w:szCs w:val="22"/>
        </w:rPr>
        <w:t xml:space="preserve"> professional or professorial</w:t>
      </w:r>
      <w:r w:rsidR="00CA223C">
        <w:rPr>
          <w:rFonts w:ascii="Cambria" w:hAnsi="Cambria"/>
          <w:sz w:val="22"/>
          <w:szCs w:val="22"/>
        </w:rPr>
        <w:t xml:space="preserve"> ranks</w:t>
      </w:r>
      <w:r w:rsidR="006E4BA8" w:rsidRPr="002A09FB">
        <w:rPr>
          <w:rFonts w:ascii="Cambria" w:hAnsi="Cambria"/>
          <w:sz w:val="22"/>
          <w:szCs w:val="22"/>
        </w:rPr>
        <w:t xml:space="preserve"> </w:t>
      </w:r>
      <w:r w:rsidR="00EA62BC">
        <w:rPr>
          <w:rFonts w:ascii="Cambria" w:hAnsi="Cambria"/>
          <w:sz w:val="22"/>
          <w:szCs w:val="22"/>
        </w:rPr>
        <w:t xml:space="preserve">based on the course assignment and </w:t>
      </w:r>
      <w:r w:rsidR="00CA223C">
        <w:rPr>
          <w:rFonts w:ascii="Cambria" w:hAnsi="Cambria"/>
          <w:sz w:val="22"/>
          <w:szCs w:val="22"/>
        </w:rPr>
        <w:t>need for</w:t>
      </w:r>
      <w:r w:rsidR="001A75B6">
        <w:rPr>
          <w:rFonts w:ascii="Cambria" w:hAnsi="Cambria"/>
          <w:sz w:val="22"/>
          <w:szCs w:val="22"/>
        </w:rPr>
        <w:t xml:space="preserve"> terminal</w:t>
      </w:r>
      <w:r w:rsidR="00EA62BC">
        <w:rPr>
          <w:rFonts w:ascii="Cambria" w:hAnsi="Cambria"/>
          <w:sz w:val="22"/>
          <w:szCs w:val="22"/>
        </w:rPr>
        <w:t xml:space="preserve"> </w:t>
      </w:r>
      <w:r w:rsidR="00CA223C">
        <w:rPr>
          <w:rFonts w:ascii="Cambria" w:hAnsi="Cambria"/>
          <w:sz w:val="22"/>
          <w:szCs w:val="22"/>
        </w:rPr>
        <w:t>preparation</w:t>
      </w:r>
      <w:r w:rsidR="006E4BA8" w:rsidRPr="002A09FB">
        <w:rPr>
          <w:rFonts w:ascii="Cambria" w:hAnsi="Cambria"/>
          <w:sz w:val="22"/>
          <w:szCs w:val="22"/>
        </w:rPr>
        <w:t>; salary rate dictated by</w:t>
      </w:r>
      <w:r w:rsidR="006E4BA8">
        <w:rPr>
          <w:rFonts w:ascii="Cambria" w:hAnsi="Cambria"/>
          <w:sz w:val="22"/>
          <w:szCs w:val="22"/>
        </w:rPr>
        <w:t xml:space="preserve"> txt rate</w:t>
      </w:r>
      <w:r w:rsidR="006E4BA8" w:rsidRPr="002A09FB">
        <w:rPr>
          <w:rFonts w:ascii="Cambria" w:hAnsi="Cambria"/>
          <w:sz w:val="22"/>
          <w:szCs w:val="22"/>
        </w:rPr>
        <w:t xml:space="preserve"> table; </w:t>
      </w:r>
      <w:r w:rsidR="006E4BA8" w:rsidRPr="002A09FB">
        <w:rPr>
          <w:rFonts w:ascii="Cambria" w:hAnsi="Cambria"/>
          <w:b/>
          <w:i/>
          <w:sz w:val="22"/>
          <w:szCs w:val="22"/>
        </w:rPr>
        <w:t>chair evaluation</w:t>
      </w:r>
      <w:r w:rsidR="006E4BA8">
        <w:rPr>
          <w:rFonts w:ascii="Cambria" w:hAnsi="Cambria"/>
          <w:b/>
          <w:i/>
          <w:sz w:val="22"/>
          <w:szCs w:val="22"/>
        </w:rPr>
        <w:t>s are</w:t>
      </w:r>
      <w:r w:rsidR="006E4BA8" w:rsidRPr="002A09FB">
        <w:rPr>
          <w:rFonts w:ascii="Cambria" w:hAnsi="Cambria"/>
          <w:b/>
          <w:i/>
          <w:sz w:val="22"/>
          <w:szCs w:val="22"/>
        </w:rPr>
        <w:t xml:space="preserve"> required every 3 years or 45 ELU</w:t>
      </w:r>
      <w:r w:rsidR="006E4BA8" w:rsidRPr="002A09FB">
        <w:rPr>
          <w:rFonts w:ascii="Cambria" w:hAnsi="Cambria"/>
          <w:sz w:val="22"/>
          <w:szCs w:val="22"/>
        </w:rPr>
        <w:t>, whichever comes first</w:t>
      </w:r>
    </w:p>
    <w:p w14:paraId="43F941D9" w14:textId="30C115AF" w:rsidR="00BE1187" w:rsidRPr="002A09FB" w:rsidRDefault="00BE1187" w:rsidP="00CC293E">
      <w:pPr>
        <w:widowControl/>
        <w:numPr>
          <w:ilvl w:val="1"/>
          <w:numId w:val="1"/>
        </w:numPr>
        <w:autoSpaceDE/>
        <w:autoSpaceDN/>
        <w:adjustRightInd/>
        <w:spacing w:after="60"/>
        <w:ind w:left="720"/>
        <w:rPr>
          <w:rFonts w:ascii="Cambria" w:hAnsi="Cambria"/>
          <w:sz w:val="22"/>
          <w:szCs w:val="22"/>
        </w:rPr>
      </w:pPr>
      <w:r w:rsidRPr="002A09FB">
        <w:rPr>
          <w:rFonts w:ascii="Cambria" w:hAnsi="Cambria"/>
          <w:b/>
          <w:sz w:val="22"/>
          <w:szCs w:val="22"/>
          <w:u w:val="single"/>
        </w:rPr>
        <w:t>Adjunct Faculty</w:t>
      </w:r>
      <w:r w:rsidR="00160243">
        <w:rPr>
          <w:rFonts w:ascii="Cambria" w:hAnsi="Cambria"/>
          <w:b/>
          <w:sz w:val="22"/>
          <w:szCs w:val="22"/>
          <w:u w:val="single"/>
        </w:rPr>
        <w:t xml:space="preserve"> (restricted)</w:t>
      </w:r>
      <w:r w:rsidR="003F4928">
        <w:rPr>
          <w:rFonts w:ascii="Cambria" w:hAnsi="Cambria"/>
          <w:b/>
          <w:sz w:val="22"/>
          <w:szCs w:val="22"/>
          <w:u w:val="single"/>
        </w:rPr>
        <w:t xml:space="preserve"> “</w:t>
      </w:r>
      <w:proofErr w:type="spellStart"/>
      <w:r w:rsidR="003F4928">
        <w:rPr>
          <w:rFonts w:ascii="Cambria" w:hAnsi="Cambria"/>
          <w:b/>
          <w:sz w:val="22"/>
          <w:szCs w:val="22"/>
          <w:u w:val="single"/>
        </w:rPr>
        <w:t>yearlongs</w:t>
      </w:r>
      <w:proofErr w:type="spellEnd"/>
      <w:r w:rsidR="003F4928">
        <w:rPr>
          <w:rFonts w:ascii="Cambria" w:hAnsi="Cambria"/>
          <w:b/>
          <w:sz w:val="22"/>
          <w:szCs w:val="22"/>
          <w:u w:val="single"/>
        </w:rPr>
        <w:t>”</w:t>
      </w:r>
      <w:r w:rsidR="00160243" w:rsidRPr="002A09FB">
        <w:rPr>
          <w:rFonts w:ascii="Cambria" w:hAnsi="Cambria"/>
          <w:sz w:val="22"/>
          <w:szCs w:val="22"/>
        </w:rPr>
        <w:t xml:space="preserve"> – temporary faculty</w:t>
      </w:r>
      <w:r w:rsidR="000B30EA">
        <w:rPr>
          <w:rFonts w:ascii="Cambria" w:hAnsi="Cambria"/>
          <w:sz w:val="22"/>
          <w:szCs w:val="22"/>
        </w:rPr>
        <w:t>, on fixed-term, non</w:t>
      </w:r>
      <w:r w:rsidR="00CF61F0">
        <w:rPr>
          <w:rFonts w:ascii="Cambria" w:hAnsi="Cambria"/>
          <w:sz w:val="22"/>
          <w:szCs w:val="22"/>
        </w:rPr>
        <w:t>-</w:t>
      </w:r>
      <w:r w:rsidR="000B30EA">
        <w:rPr>
          <w:rFonts w:ascii="Cambria" w:hAnsi="Cambria"/>
          <w:sz w:val="22"/>
          <w:szCs w:val="22"/>
        </w:rPr>
        <w:t>renewable appointment,</w:t>
      </w:r>
      <w:r w:rsidR="00160243" w:rsidRPr="002A09FB">
        <w:rPr>
          <w:rFonts w:ascii="Cambria" w:hAnsi="Cambria"/>
          <w:sz w:val="22"/>
          <w:szCs w:val="22"/>
        </w:rPr>
        <w:t xml:space="preserve"> </w:t>
      </w:r>
      <w:r w:rsidR="00160243">
        <w:rPr>
          <w:rFonts w:ascii="Cambria" w:hAnsi="Cambria"/>
          <w:sz w:val="22"/>
          <w:szCs w:val="22"/>
        </w:rPr>
        <w:t>appointed when</w:t>
      </w:r>
      <w:r w:rsidR="00CA223C">
        <w:rPr>
          <w:rFonts w:ascii="Cambria" w:hAnsi="Cambria"/>
          <w:sz w:val="22"/>
          <w:szCs w:val="22"/>
        </w:rPr>
        <w:t xml:space="preserve"> multi-term </w:t>
      </w:r>
      <w:r w:rsidR="00160243">
        <w:rPr>
          <w:rFonts w:ascii="Cambria" w:hAnsi="Cambria"/>
          <w:sz w:val="22"/>
          <w:szCs w:val="22"/>
        </w:rPr>
        <w:t>need</w:t>
      </w:r>
      <w:r w:rsidR="00CA223C">
        <w:rPr>
          <w:rFonts w:ascii="Cambria" w:hAnsi="Cambria"/>
          <w:sz w:val="22"/>
          <w:szCs w:val="22"/>
        </w:rPr>
        <w:t xml:space="preserve"> is </w:t>
      </w:r>
      <w:r w:rsidR="00160243">
        <w:rPr>
          <w:rFonts w:ascii="Cambria" w:hAnsi="Cambria"/>
          <w:sz w:val="22"/>
          <w:szCs w:val="22"/>
        </w:rPr>
        <w:t>expected</w:t>
      </w:r>
      <w:r w:rsidR="00CA223C">
        <w:rPr>
          <w:rFonts w:ascii="Cambria" w:hAnsi="Cambria"/>
          <w:sz w:val="22"/>
          <w:szCs w:val="22"/>
        </w:rPr>
        <w:t xml:space="preserve"> </w:t>
      </w:r>
      <w:r w:rsidR="00160243">
        <w:rPr>
          <w:rFonts w:ascii="Cambria" w:hAnsi="Cambria"/>
          <w:sz w:val="22"/>
          <w:szCs w:val="22"/>
        </w:rPr>
        <w:t>to</w:t>
      </w:r>
      <w:r w:rsidR="00CA223C" w:rsidRPr="00160243">
        <w:rPr>
          <w:rFonts w:ascii="Cambria" w:hAnsi="Cambria"/>
          <w:sz w:val="22"/>
          <w:szCs w:val="22"/>
        </w:rPr>
        <w:t xml:space="preserve"> exceeds 0.5 FTE, course assignment fluctuations due to cancellations are unlikely, </w:t>
      </w:r>
      <w:r w:rsidR="00CA223C">
        <w:rPr>
          <w:rFonts w:ascii="Cambria" w:hAnsi="Cambria"/>
          <w:sz w:val="22"/>
          <w:szCs w:val="22"/>
        </w:rPr>
        <w:t>AND</w:t>
      </w:r>
      <w:r w:rsidR="00CA223C" w:rsidRPr="00CC293E">
        <w:rPr>
          <w:rFonts w:ascii="Cambria" w:hAnsi="Cambria"/>
          <w:sz w:val="22"/>
          <w:szCs w:val="22"/>
        </w:rPr>
        <w:t xml:space="preserve"> the assignment would normally be part of a single renewable position at SOU (e.g</w:t>
      </w:r>
      <w:r w:rsidR="00A234D6">
        <w:rPr>
          <w:rFonts w:ascii="Cambria" w:hAnsi="Cambria"/>
          <w:sz w:val="22"/>
          <w:szCs w:val="22"/>
        </w:rPr>
        <w:t xml:space="preserve">. sabbatical replacement, </w:t>
      </w:r>
      <w:r w:rsidR="00CA223C" w:rsidRPr="00CC293E">
        <w:rPr>
          <w:rFonts w:ascii="Cambria" w:hAnsi="Cambria"/>
          <w:sz w:val="22"/>
          <w:szCs w:val="22"/>
        </w:rPr>
        <w:t>la</w:t>
      </w:r>
      <w:r w:rsidR="00160243" w:rsidRPr="00160243">
        <w:rPr>
          <w:rFonts w:ascii="Cambria" w:hAnsi="Cambria"/>
          <w:sz w:val="22"/>
          <w:szCs w:val="22"/>
        </w:rPr>
        <w:t>st minute resignation)</w:t>
      </w:r>
      <w:r w:rsidRPr="002A09FB">
        <w:rPr>
          <w:rFonts w:ascii="Cambria" w:hAnsi="Cambria"/>
          <w:sz w:val="22"/>
          <w:szCs w:val="22"/>
        </w:rPr>
        <w:t xml:space="preserve">; </w:t>
      </w:r>
      <w:r w:rsidR="00160243">
        <w:rPr>
          <w:rFonts w:ascii="Cambria" w:hAnsi="Cambria"/>
          <w:sz w:val="22"/>
          <w:szCs w:val="22"/>
        </w:rPr>
        <w:t xml:space="preserve">appointed </w:t>
      </w:r>
      <w:r w:rsidR="00160243" w:rsidRPr="002A09FB">
        <w:rPr>
          <w:rFonts w:ascii="Cambria" w:hAnsi="Cambria"/>
          <w:sz w:val="22"/>
          <w:szCs w:val="22"/>
        </w:rPr>
        <w:t>a</w:t>
      </w:r>
      <w:r w:rsidR="00160243">
        <w:rPr>
          <w:rFonts w:ascii="Cambria" w:hAnsi="Cambria"/>
          <w:sz w:val="22"/>
          <w:szCs w:val="22"/>
        </w:rPr>
        <w:t>t</w:t>
      </w:r>
      <w:r w:rsidR="00160243" w:rsidRPr="002A09FB">
        <w:rPr>
          <w:rFonts w:ascii="Cambria" w:hAnsi="Cambria"/>
          <w:sz w:val="22"/>
          <w:szCs w:val="22"/>
        </w:rPr>
        <w:t xml:space="preserve"> professional or professorial</w:t>
      </w:r>
      <w:r w:rsidR="00160243">
        <w:rPr>
          <w:rFonts w:ascii="Cambria" w:hAnsi="Cambria"/>
          <w:sz w:val="22"/>
          <w:szCs w:val="22"/>
        </w:rPr>
        <w:t xml:space="preserve"> ranks</w:t>
      </w:r>
      <w:r w:rsidR="00160243" w:rsidRPr="002A09FB">
        <w:rPr>
          <w:rFonts w:ascii="Cambria" w:hAnsi="Cambria"/>
          <w:sz w:val="22"/>
          <w:szCs w:val="22"/>
        </w:rPr>
        <w:t xml:space="preserve"> </w:t>
      </w:r>
      <w:r w:rsidR="00160243">
        <w:rPr>
          <w:rFonts w:ascii="Cambria" w:hAnsi="Cambria"/>
          <w:sz w:val="22"/>
          <w:szCs w:val="22"/>
        </w:rPr>
        <w:t>based on the course as</w:t>
      </w:r>
      <w:r w:rsidR="001A75B6">
        <w:rPr>
          <w:rFonts w:ascii="Cambria" w:hAnsi="Cambria"/>
          <w:sz w:val="22"/>
          <w:szCs w:val="22"/>
        </w:rPr>
        <w:t>signment and need for terminal</w:t>
      </w:r>
      <w:r w:rsidR="00160243">
        <w:rPr>
          <w:rFonts w:ascii="Cambria" w:hAnsi="Cambria"/>
          <w:sz w:val="22"/>
          <w:szCs w:val="22"/>
        </w:rPr>
        <w:t xml:space="preserve"> preparation; </w:t>
      </w:r>
      <w:r w:rsidR="00DA20FD">
        <w:rPr>
          <w:rFonts w:ascii="Cambria" w:hAnsi="Cambria"/>
          <w:sz w:val="22"/>
          <w:szCs w:val="22"/>
        </w:rPr>
        <w:t xml:space="preserve">includes scholarship and service </w:t>
      </w:r>
      <w:r w:rsidRPr="002A09FB">
        <w:rPr>
          <w:rFonts w:ascii="Cambria" w:hAnsi="Cambria"/>
          <w:sz w:val="22"/>
          <w:szCs w:val="22"/>
        </w:rPr>
        <w:t xml:space="preserve">expectations equivalent </w:t>
      </w:r>
      <w:r w:rsidR="00DA20FD">
        <w:rPr>
          <w:rFonts w:ascii="Cambria" w:hAnsi="Cambria"/>
          <w:sz w:val="22"/>
          <w:szCs w:val="22"/>
        </w:rPr>
        <w:t xml:space="preserve">to renewable appointees at </w:t>
      </w:r>
      <w:r w:rsidR="00A234D6">
        <w:rPr>
          <w:rFonts w:ascii="Cambria" w:hAnsi="Cambria"/>
          <w:sz w:val="22"/>
          <w:szCs w:val="22"/>
        </w:rPr>
        <w:t>the same</w:t>
      </w:r>
      <w:r w:rsidR="00DA20FD">
        <w:rPr>
          <w:rFonts w:ascii="Cambria" w:hAnsi="Cambria"/>
          <w:sz w:val="22"/>
          <w:szCs w:val="22"/>
        </w:rPr>
        <w:t xml:space="preserve"> rank</w:t>
      </w:r>
      <w:r w:rsidRPr="002A09FB">
        <w:rPr>
          <w:rFonts w:ascii="Cambria" w:hAnsi="Cambria"/>
          <w:sz w:val="22"/>
          <w:szCs w:val="22"/>
        </w:rPr>
        <w:t xml:space="preserve">; salary rate </w:t>
      </w:r>
      <w:r>
        <w:rPr>
          <w:rFonts w:ascii="Cambria" w:hAnsi="Cambria"/>
          <w:sz w:val="22"/>
          <w:szCs w:val="22"/>
        </w:rPr>
        <w:t xml:space="preserve">is </w:t>
      </w:r>
      <w:r w:rsidRPr="002A09FB">
        <w:rPr>
          <w:rFonts w:ascii="Cambria" w:hAnsi="Cambria"/>
          <w:sz w:val="22"/>
          <w:szCs w:val="22"/>
        </w:rPr>
        <w:t xml:space="preserve">dictated by the CBA; </w:t>
      </w:r>
      <w:r w:rsidR="003F4928" w:rsidRPr="003F4928">
        <w:rPr>
          <w:rFonts w:ascii="Cambria" w:hAnsi="Cambria"/>
          <w:b/>
          <w:sz w:val="22"/>
          <w:szCs w:val="22"/>
        </w:rPr>
        <w:t>annual</w:t>
      </w:r>
      <w:r w:rsidR="003F4928">
        <w:rPr>
          <w:rFonts w:ascii="Cambria" w:hAnsi="Cambria"/>
          <w:sz w:val="22"/>
          <w:szCs w:val="22"/>
        </w:rPr>
        <w:t xml:space="preserve"> </w:t>
      </w:r>
      <w:r w:rsidRPr="002A09FB">
        <w:rPr>
          <w:rFonts w:ascii="Cambria" w:hAnsi="Cambria"/>
          <w:b/>
          <w:i/>
          <w:sz w:val="22"/>
          <w:szCs w:val="22"/>
        </w:rPr>
        <w:t>chair evaluation</w:t>
      </w:r>
      <w:r>
        <w:rPr>
          <w:rFonts w:ascii="Cambria" w:hAnsi="Cambria"/>
          <w:b/>
          <w:i/>
          <w:sz w:val="22"/>
          <w:szCs w:val="22"/>
        </w:rPr>
        <w:t>s are</w:t>
      </w:r>
      <w:r w:rsidRPr="002A09FB">
        <w:rPr>
          <w:rFonts w:ascii="Cambria" w:hAnsi="Cambria"/>
          <w:b/>
          <w:i/>
          <w:sz w:val="22"/>
          <w:szCs w:val="22"/>
        </w:rPr>
        <w:t xml:space="preserve"> required</w:t>
      </w:r>
      <w:r w:rsidR="003F4928">
        <w:rPr>
          <w:rFonts w:ascii="Cambria" w:hAnsi="Cambria"/>
          <w:b/>
          <w:i/>
          <w:sz w:val="22"/>
          <w:szCs w:val="22"/>
        </w:rPr>
        <w:t xml:space="preserve">; </w:t>
      </w:r>
      <w:r w:rsidR="003F4928" w:rsidRPr="002A09FB">
        <w:rPr>
          <w:rFonts w:ascii="Cambria" w:hAnsi="Cambria"/>
          <w:b/>
          <w:i/>
          <w:sz w:val="22"/>
          <w:szCs w:val="22"/>
        </w:rPr>
        <w:t>FPARs are due annually</w:t>
      </w:r>
      <w:r w:rsidRPr="002A09FB">
        <w:rPr>
          <w:rFonts w:ascii="Cambria" w:hAnsi="Cambria"/>
          <w:b/>
          <w:i/>
          <w:sz w:val="22"/>
          <w:szCs w:val="22"/>
        </w:rPr>
        <w:t xml:space="preserve"> </w:t>
      </w:r>
    </w:p>
    <w:p w14:paraId="178EFAF2" w14:textId="77777777" w:rsidR="00BE1187" w:rsidRDefault="00BE1187" w:rsidP="00663C59">
      <w:pPr>
        <w:pBdr>
          <w:bottom w:val="single" w:sz="4" w:space="1" w:color="auto"/>
        </w:pBdr>
        <w:rPr>
          <w:rStyle w:val="Heading"/>
          <w:rFonts w:ascii="Cambria" w:hAnsi="Cambria"/>
          <w:b/>
          <w:bCs/>
          <w:sz w:val="22"/>
          <w:szCs w:val="22"/>
        </w:rPr>
      </w:pPr>
      <w:r w:rsidRPr="002A09FB">
        <w:rPr>
          <w:rStyle w:val="Heading"/>
          <w:rFonts w:ascii="Cambria" w:hAnsi="Cambria"/>
          <w:b/>
          <w:bCs/>
          <w:sz w:val="22"/>
          <w:szCs w:val="22"/>
        </w:rPr>
        <w:br w:type="page"/>
      </w:r>
      <w:r>
        <w:rPr>
          <w:rStyle w:val="Heading"/>
          <w:rFonts w:ascii="Cambria" w:hAnsi="Cambria"/>
          <w:b/>
          <w:bCs/>
          <w:sz w:val="22"/>
          <w:szCs w:val="22"/>
        </w:rPr>
        <w:lastRenderedPageBreak/>
        <w:t>Who should be evaluated</w:t>
      </w:r>
      <w:r w:rsidR="00A6174C">
        <w:rPr>
          <w:rStyle w:val="Heading"/>
          <w:rFonts w:ascii="Cambria" w:hAnsi="Cambria"/>
          <w:b/>
          <w:bCs/>
          <w:sz w:val="22"/>
          <w:szCs w:val="22"/>
        </w:rPr>
        <w:t xml:space="preserve"> and </w:t>
      </w:r>
      <w:r>
        <w:rPr>
          <w:rStyle w:val="Heading"/>
          <w:rFonts w:ascii="Cambria" w:hAnsi="Cambria"/>
          <w:b/>
          <w:bCs/>
          <w:sz w:val="22"/>
          <w:szCs w:val="22"/>
        </w:rPr>
        <w:t>how</w:t>
      </w:r>
      <w:r w:rsidR="00A6174C">
        <w:rPr>
          <w:rStyle w:val="Heading"/>
          <w:rFonts w:ascii="Cambria" w:hAnsi="Cambria"/>
          <w:b/>
          <w:bCs/>
          <w:sz w:val="22"/>
          <w:szCs w:val="22"/>
        </w:rPr>
        <w:t xml:space="preserve"> often</w:t>
      </w:r>
      <w:r>
        <w:rPr>
          <w:rStyle w:val="Heading"/>
          <w:rFonts w:ascii="Cambria" w:hAnsi="Cambria"/>
          <w:b/>
          <w:bCs/>
          <w:sz w:val="22"/>
          <w:szCs w:val="22"/>
        </w:rPr>
        <w:t>?</w:t>
      </w:r>
    </w:p>
    <w:p w14:paraId="633DD9A6" w14:textId="77777777" w:rsidR="00BE1187" w:rsidRDefault="00BE1187" w:rsidP="00663C59">
      <w:pPr>
        <w:rPr>
          <w:rStyle w:val="Heading"/>
          <w:rFonts w:ascii="Cambria" w:hAnsi="Cambria"/>
          <w:b/>
          <w:bCs/>
          <w:sz w:val="22"/>
          <w:szCs w:val="22"/>
        </w:rPr>
      </w:pPr>
    </w:p>
    <w:p w14:paraId="04D4468F" w14:textId="71402C13" w:rsidR="000C6638" w:rsidRDefault="00BE1187" w:rsidP="00663C59">
      <w:pPr>
        <w:rPr>
          <w:rStyle w:val="Heading"/>
          <w:rFonts w:ascii="Cambria" w:hAnsi="Cambria"/>
          <w:bCs/>
          <w:sz w:val="22"/>
          <w:szCs w:val="22"/>
        </w:rPr>
      </w:pPr>
      <w:r w:rsidRPr="003D3BD2">
        <w:rPr>
          <w:rStyle w:val="Heading"/>
          <w:rFonts w:ascii="Cambria" w:hAnsi="Cambria"/>
          <w:bCs/>
          <w:sz w:val="22"/>
          <w:szCs w:val="22"/>
        </w:rPr>
        <w:t>Evaluations</w:t>
      </w:r>
      <w:r>
        <w:rPr>
          <w:rStyle w:val="Heading"/>
          <w:rFonts w:ascii="Cambria" w:hAnsi="Cambria"/>
          <w:bCs/>
          <w:sz w:val="22"/>
          <w:szCs w:val="22"/>
        </w:rPr>
        <w:t xml:space="preserve"> by the chair in consultation with the program personnel committee are due </w:t>
      </w:r>
      <w:r w:rsidRPr="003D3BD2">
        <w:rPr>
          <w:rStyle w:val="Heading"/>
          <w:rFonts w:ascii="Cambria" w:hAnsi="Cambria"/>
          <w:b/>
          <w:bCs/>
          <w:sz w:val="22"/>
          <w:szCs w:val="22"/>
          <w:u w:val="single"/>
        </w:rPr>
        <w:t>annually</w:t>
      </w:r>
      <w:r>
        <w:rPr>
          <w:rStyle w:val="Heading"/>
          <w:rFonts w:ascii="Cambria" w:hAnsi="Cambria"/>
          <w:bCs/>
          <w:sz w:val="22"/>
          <w:szCs w:val="22"/>
        </w:rPr>
        <w:t xml:space="preserve"> for</w:t>
      </w:r>
      <w:r w:rsidR="00D57F67">
        <w:rPr>
          <w:rStyle w:val="Heading"/>
          <w:rFonts w:ascii="Cambria" w:hAnsi="Cambria"/>
          <w:bCs/>
          <w:sz w:val="22"/>
          <w:szCs w:val="22"/>
        </w:rPr>
        <w:t xml:space="preserve"> all faculty on one-year renewable contracts (tenure-track faculty, instructors, and senior instructors who do not yet have three-year extendable appointments)</w:t>
      </w:r>
      <w:r w:rsidR="003F4928">
        <w:rPr>
          <w:rStyle w:val="Heading"/>
          <w:rFonts w:ascii="Cambria" w:hAnsi="Cambria"/>
          <w:bCs/>
          <w:sz w:val="22"/>
          <w:szCs w:val="22"/>
        </w:rPr>
        <w:t xml:space="preserve"> and faculty on non-renewable “yearlong” contracts</w:t>
      </w:r>
      <w:r w:rsidR="00D57F67">
        <w:rPr>
          <w:rStyle w:val="Heading"/>
          <w:rFonts w:ascii="Cambria" w:hAnsi="Cambria"/>
          <w:bCs/>
          <w:sz w:val="22"/>
          <w:szCs w:val="22"/>
        </w:rPr>
        <w:t xml:space="preserve">. </w:t>
      </w:r>
    </w:p>
    <w:p w14:paraId="5EA38469" w14:textId="77777777" w:rsidR="00BE1187" w:rsidRPr="003D3BD2" w:rsidRDefault="00BE1187" w:rsidP="00663C59">
      <w:pPr>
        <w:ind w:left="720"/>
        <w:rPr>
          <w:rStyle w:val="Heading"/>
          <w:rFonts w:ascii="Cambria" w:hAnsi="Cambria"/>
          <w:bCs/>
          <w:sz w:val="22"/>
          <w:szCs w:val="22"/>
        </w:rPr>
      </w:pPr>
    </w:p>
    <w:p w14:paraId="657122EC" w14:textId="67777AB1" w:rsidR="000C6638" w:rsidRDefault="00BE1187" w:rsidP="00663C59">
      <w:pPr>
        <w:rPr>
          <w:rStyle w:val="Heading"/>
          <w:rFonts w:ascii="Cambria" w:hAnsi="Cambria"/>
          <w:bCs/>
          <w:sz w:val="22"/>
          <w:szCs w:val="22"/>
        </w:rPr>
      </w:pPr>
      <w:r>
        <w:rPr>
          <w:rStyle w:val="Heading"/>
          <w:rFonts w:ascii="Cambria" w:hAnsi="Cambria"/>
          <w:bCs/>
          <w:sz w:val="22"/>
          <w:szCs w:val="22"/>
        </w:rPr>
        <w:t xml:space="preserve">Evaluations by the chair in consultation with the program personnel committee are due </w:t>
      </w:r>
      <w:r w:rsidRPr="003D3BD2">
        <w:rPr>
          <w:rStyle w:val="Heading"/>
          <w:rFonts w:ascii="Cambria" w:hAnsi="Cambria"/>
          <w:b/>
          <w:bCs/>
          <w:sz w:val="22"/>
          <w:szCs w:val="22"/>
          <w:u w:val="single"/>
        </w:rPr>
        <w:t>every 3 years or 45 ELU</w:t>
      </w:r>
      <w:r>
        <w:rPr>
          <w:rStyle w:val="Heading"/>
          <w:rFonts w:ascii="Cambria" w:hAnsi="Cambria"/>
          <w:bCs/>
          <w:sz w:val="22"/>
          <w:szCs w:val="22"/>
        </w:rPr>
        <w:t>, whichever comes first, for</w:t>
      </w:r>
      <w:r w:rsidR="00D57F67">
        <w:rPr>
          <w:rStyle w:val="Heading"/>
          <w:rFonts w:ascii="Cambria" w:hAnsi="Cambria"/>
          <w:bCs/>
          <w:sz w:val="22"/>
          <w:szCs w:val="22"/>
        </w:rPr>
        <w:t xml:space="preserve"> all temporary faculty (term x term). </w:t>
      </w:r>
    </w:p>
    <w:p w14:paraId="40559672" w14:textId="77777777" w:rsidR="00BE1187" w:rsidRPr="003D3BD2" w:rsidRDefault="00BE1187" w:rsidP="00663C59">
      <w:pPr>
        <w:rPr>
          <w:rStyle w:val="Heading"/>
          <w:rFonts w:ascii="Cambria" w:hAnsi="Cambria"/>
          <w:bCs/>
          <w:sz w:val="22"/>
          <w:szCs w:val="22"/>
        </w:rPr>
      </w:pPr>
    </w:p>
    <w:p w14:paraId="281D48A7" w14:textId="5B5647EA" w:rsidR="000C6638" w:rsidRDefault="00BE1187" w:rsidP="00663C59">
      <w:pPr>
        <w:rPr>
          <w:rStyle w:val="Heading"/>
          <w:rFonts w:ascii="Cambria" w:hAnsi="Cambria"/>
          <w:bCs/>
          <w:sz w:val="22"/>
          <w:szCs w:val="22"/>
        </w:rPr>
      </w:pPr>
      <w:r w:rsidRPr="003D3BD2">
        <w:rPr>
          <w:rStyle w:val="Heading"/>
          <w:rFonts w:ascii="Cambria" w:hAnsi="Cambria"/>
          <w:b/>
          <w:bCs/>
          <w:sz w:val="22"/>
          <w:szCs w:val="22"/>
          <w:u w:val="single"/>
        </w:rPr>
        <w:t>Colleague evaluations</w:t>
      </w:r>
      <w:r>
        <w:rPr>
          <w:rStyle w:val="Heading"/>
          <w:rFonts w:ascii="Cambria" w:hAnsi="Cambria"/>
          <w:bCs/>
          <w:sz w:val="22"/>
          <w:szCs w:val="22"/>
        </w:rPr>
        <w:t xml:space="preserve"> are due at least </w:t>
      </w:r>
      <w:r w:rsidRPr="003D3BD2">
        <w:rPr>
          <w:rStyle w:val="Heading"/>
          <w:rFonts w:ascii="Cambria" w:hAnsi="Cambria"/>
          <w:b/>
          <w:bCs/>
          <w:sz w:val="22"/>
          <w:szCs w:val="22"/>
          <w:u w:val="single"/>
        </w:rPr>
        <w:t>every 5 years</w:t>
      </w:r>
      <w:r>
        <w:rPr>
          <w:rStyle w:val="Heading"/>
          <w:rFonts w:ascii="Cambria" w:hAnsi="Cambria"/>
          <w:bCs/>
          <w:sz w:val="22"/>
          <w:szCs w:val="22"/>
        </w:rPr>
        <w:t xml:space="preserve"> for</w:t>
      </w:r>
      <w:r w:rsidR="00D57F67">
        <w:rPr>
          <w:rStyle w:val="Heading"/>
          <w:rFonts w:ascii="Cambria" w:hAnsi="Cambria"/>
          <w:bCs/>
          <w:sz w:val="22"/>
          <w:szCs w:val="22"/>
        </w:rPr>
        <w:t xml:space="preserve"> a</w:t>
      </w:r>
      <w:r>
        <w:rPr>
          <w:rStyle w:val="Heading"/>
          <w:rFonts w:ascii="Cambria" w:hAnsi="Cambria"/>
          <w:bCs/>
          <w:sz w:val="22"/>
          <w:szCs w:val="22"/>
        </w:rPr>
        <w:t xml:space="preserve">ll faculty </w:t>
      </w:r>
      <w:r w:rsidR="000C6638">
        <w:rPr>
          <w:rStyle w:val="Heading"/>
          <w:rFonts w:ascii="Cambria" w:hAnsi="Cambria"/>
          <w:bCs/>
          <w:sz w:val="22"/>
          <w:szCs w:val="22"/>
        </w:rPr>
        <w:t>with renewable appointments, three-year extendable appointments, and indefinite tenure (i.e. all faculty members who do not hold temporary appointments).</w:t>
      </w:r>
    </w:p>
    <w:p w14:paraId="01D2B5CB" w14:textId="690F1EA5" w:rsidR="00D03ADA" w:rsidRPr="005D36A9" w:rsidRDefault="00D03ADA" w:rsidP="00663C59">
      <w:pPr>
        <w:ind w:left="720"/>
        <w:rPr>
          <w:rStyle w:val="Heading"/>
          <w:rFonts w:ascii="Cambria" w:hAnsi="Cambria"/>
          <w:bCs/>
          <w:sz w:val="22"/>
          <w:szCs w:val="22"/>
        </w:rPr>
      </w:pPr>
    </w:p>
    <w:p w14:paraId="0B94E1A6" w14:textId="77777777" w:rsidR="00117487" w:rsidRDefault="00117487" w:rsidP="00663C59">
      <w:pPr>
        <w:pBdr>
          <w:bottom w:val="single" w:sz="4" w:space="1" w:color="auto"/>
        </w:pBdr>
        <w:rPr>
          <w:rStyle w:val="Heading"/>
          <w:rFonts w:ascii="Cambria" w:hAnsi="Cambria"/>
          <w:b/>
          <w:bCs/>
          <w:sz w:val="22"/>
          <w:szCs w:val="22"/>
        </w:rPr>
      </w:pPr>
      <w:r w:rsidRPr="004458A0">
        <w:rPr>
          <w:rStyle w:val="Heading"/>
          <w:rFonts w:ascii="Cambria" w:hAnsi="Cambria"/>
          <w:b/>
          <w:bCs/>
          <w:sz w:val="22"/>
          <w:szCs w:val="22"/>
        </w:rPr>
        <w:t xml:space="preserve">Where are the directions for evaluations?  </w:t>
      </w:r>
    </w:p>
    <w:p w14:paraId="69A159EC" w14:textId="77777777" w:rsidR="00D03ADA" w:rsidRDefault="00D03ADA" w:rsidP="00663C59">
      <w:pPr>
        <w:rPr>
          <w:rStyle w:val="Heading"/>
          <w:rFonts w:ascii="Cambria" w:hAnsi="Cambria"/>
          <w:b/>
          <w:bCs/>
          <w:sz w:val="22"/>
          <w:szCs w:val="22"/>
        </w:rPr>
      </w:pPr>
    </w:p>
    <w:p w14:paraId="6E03A18B" w14:textId="77777777" w:rsidR="00345C80" w:rsidRPr="00345C80" w:rsidRDefault="00345C80" w:rsidP="00663C59">
      <w:pPr>
        <w:pBdr>
          <w:bottom w:val="single" w:sz="4" w:space="1" w:color="auto"/>
        </w:pBdr>
        <w:rPr>
          <w:rStyle w:val="Heading"/>
          <w:rFonts w:ascii="Cambria" w:hAnsi="Cambria"/>
          <w:b/>
          <w:bCs/>
          <w:sz w:val="22"/>
          <w:szCs w:val="22"/>
        </w:rPr>
      </w:pPr>
      <w:r>
        <w:rPr>
          <w:rStyle w:val="Heading"/>
          <w:rFonts w:ascii="Cambria" w:hAnsi="Cambria"/>
          <w:b/>
          <w:bCs/>
          <w:sz w:val="22"/>
          <w:szCs w:val="22"/>
        </w:rPr>
        <w:t>Annual Evaluations</w:t>
      </w:r>
    </w:p>
    <w:p w14:paraId="6C566546" w14:textId="77777777" w:rsidR="003F4928" w:rsidRDefault="00345C80" w:rsidP="00663C59">
      <w:pPr>
        <w:pBdr>
          <w:bottom w:val="single" w:sz="4" w:space="1" w:color="auto"/>
        </w:pBdr>
        <w:rPr>
          <w:rFonts w:ascii="Cambria" w:hAnsi="Cambria" w:cs="Shruti"/>
          <w:bCs/>
          <w:sz w:val="22"/>
          <w:szCs w:val="22"/>
        </w:rPr>
      </w:pPr>
      <w:r>
        <w:rPr>
          <w:rStyle w:val="Heading"/>
          <w:rFonts w:ascii="Cambria" w:hAnsi="Cambria"/>
          <w:bCs/>
          <w:sz w:val="22"/>
          <w:szCs w:val="22"/>
        </w:rPr>
        <w:t>Directions for annual evaluations are in the Faculty Bylaws, section 5.350.</w:t>
      </w:r>
      <w:r w:rsidRPr="00A775B1">
        <w:rPr>
          <w:rFonts w:ascii="Cambria" w:hAnsi="Cambria" w:cs="Shruti"/>
          <w:bCs/>
          <w:sz w:val="22"/>
          <w:szCs w:val="22"/>
        </w:rPr>
        <w:t xml:space="preserve"> </w:t>
      </w:r>
      <w:r w:rsidR="003F4928">
        <w:rPr>
          <w:rFonts w:ascii="Cambria" w:hAnsi="Cambria" w:cs="Shruti"/>
          <w:bCs/>
          <w:sz w:val="22"/>
          <w:szCs w:val="22"/>
        </w:rPr>
        <w:t xml:space="preserve">Annual evaluation forms are on the Provost’s shared drive: </w:t>
      </w:r>
      <w:r w:rsidR="003F4928" w:rsidRPr="0031503C">
        <w:rPr>
          <w:rFonts w:ascii="Cambria" w:hAnsi="Cambria" w:cs="Shruti"/>
          <w:bCs/>
          <w:sz w:val="22"/>
          <w:szCs w:val="22"/>
        </w:rPr>
        <w:t>S:\Provost\SpecialAccess\READ_ONLY\Evaluation of Faculty forms</w:t>
      </w:r>
      <w:r w:rsidR="003F4928">
        <w:rPr>
          <w:rFonts w:ascii="Cambria" w:hAnsi="Cambria" w:cs="Shruti"/>
          <w:bCs/>
          <w:sz w:val="22"/>
          <w:szCs w:val="22"/>
        </w:rPr>
        <w:t xml:space="preserve"> </w:t>
      </w:r>
    </w:p>
    <w:p w14:paraId="1C5934DB" w14:textId="497824F7" w:rsidR="00345C80" w:rsidRDefault="00345C80" w:rsidP="00663C59">
      <w:pPr>
        <w:pBdr>
          <w:bottom w:val="single" w:sz="4" w:space="1" w:color="auto"/>
        </w:pBdr>
        <w:rPr>
          <w:rFonts w:ascii="Cambria" w:hAnsi="Cambria" w:cs="Shruti"/>
          <w:bCs/>
          <w:sz w:val="22"/>
          <w:szCs w:val="22"/>
        </w:rPr>
      </w:pPr>
      <w:r>
        <w:rPr>
          <w:rFonts w:ascii="Cambria" w:hAnsi="Cambria" w:cs="Shruti"/>
          <w:bCs/>
          <w:sz w:val="22"/>
          <w:szCs w:val="22"/>
        </w:rPr>
        <w:t>A</w:t>
      </w:r>
      <w:r w:rsidRPr="00A775B1">
        <w:rPr>
          <w:rFonts w:ascii="Cambria" w:hAnsi="Cambria" w:cs="Shruti"/>
          <w:bCs/>
          <w:sz w:val="22"/>
          <w:szCs w:val="22"/>
        </w:rPr>
        <w:t xml:space="preserve"> colleague evaluation </w:t>
      </w:r>
      <w:r>
        <w:rPr>
          <w:rFonts w:ascii="Cambria" w:hAnsi="Cambria" w:cs="Shruti"/>
          <w:bCs/>
          <w:sz w:val="22"/>
          <w:szCs w:val="22"/>
        </w:rPr>
        <w:t>may</w:t>
      </w:r>
      <w:r w:rsidRPr="00A775B1">
        <w:rPr>
          <w:rFonts w:ascii="Cambria" w:hAnsi="Cambria" w:cs="Shruti"/>
          <w:bCs/>
          <w:sz w:val="22"/>
          <w:szCs w:val="22"/>
        </w:rPr>
        <w:t xml:space="preserve"> replace the need for an </w:t>
      </w:r>
      <w:r>
        <w:rPr>
          <w:rFonts w:ascii="Cambria" w:hAnsi="Cambria" w:cs="Shruti"/>
          <w:bCs/>
          <w:sz w:val="22"/>
          <w:szCs w:val="22"/>
        </w:rPr>
        <w:t xml:space="preserve">annual </w:t>
      </w:r>
      <w:r w:rsidRPr="00A775B1">
        <w:rPr>
          <w:rFonts w:ascii="Cambria" w:hAnsi="Cambria" w:cs="Shruti"/>
          <w:bCs/>
          <w:sz w:val="22"/>
          <w:szCs w:val="22"/>
        </w:rPr>
        <w:t>evaluation for that year</w:t>
      </w:r>
      <w:r>
        <w:rPr>
          <w:rFonts w:ascii="Cambria" w:hAnsi="Cambria" w:cs="Shruti"/>
          <w:bCs/>
          <w:sz w:val="22"/>
          <w:szCs w:val="22"/>
        </w:rPr>
        <w:t xml:space="preserve">.  </w:t>
      </w:r>
    </w:p>
    <w:p w14:paraId="254D63A4" w14:textId="77777777" w:rsidR="00345C80" w:rsidRDefault="00345C80" w:rsidP="00663C59">
      <w:pPr>
        <w:pBdr>
          <w:bottom w:val="single" w:sz="4" w:space="1" w:color="auto"/>
        </w:pBdr>
        <w:rPr>
          <w:rFonts w:ascii="Cambria" w:hAnsi="Cambria" w:cs="Shruti"/>
          <w:bCs/>
          <w:sz w:val="22"/>
          <w:szCs w:val="22"/>
        </w:rPr>
      </w:pPr>
    </w:p>
    <w:p w14:paraId="24F45941" w14:textId="77777777" w:rsidR="00345C80" w:rsidRDefault="00345C80" w:rsidP="00663C59">
      <w:pPr>
        <w:pBdr>
          <w:bottom w:val="single" w:sz="4" w:space="1" w:color="auto"/>
        </w:pBdr>
        <w:rPr>
          <w:rFonts w:ascii="Cambria" w:hAnsi="Cambria" w:cs="Shruti"/>
          <w:b/>
          <w:bCs/>
          <w:sz w:val="22"/>
          <w:szCs w:val="22"/>
        </w:rPr>
      </w:pPr>
      <w:r>
        <w:rPr>
          <w:rFonts w:ascii="Cambria" w:hAnsi="Cambria" w:cs="Shruti"/>
          <w:b/>
          <w:bCs/>
          <w:sz w:val="22"/>
          <w:szCs w:val="22"/>
        </w:rPr>
        <w:t>Colleague Evaluations</w:t>
      </w:r>
    </w:p>
    <w:p w14:paraId="4D10E1D0" w14:textId="212EFF5C" w:rsidR="00345C80" w:rsidRPr="00345C80" w:rsidRDefault="00345C80" w:rsidP="00663C59">
      <w:pPr>
        <w:pBdr>
          <w:bottom w:val="single" w:sz="4" w:space="1" w:color="auto"/>
        </w:pBdr>
        <w:rPr>
          <w:rStyle w:val="Heading"/>
          <w:rFonts w:ascii="Cambria" w:hAnsi="Cambria"/>
          <w:b/>
          <w:bCs/>
          <w:sz w:val="22"/>
          <w:szCs w:val="22"/>
        </w:rPr>
      </w:pPr>
      <w:r>
        <w:rPr>
          <w:rStyle w:val="Heading"/>
          <w:rFonts w:ascii="Cambria" w:hAnsi="Cambria"/>
          <w:bCs/>
          <w:sz w:val="22"/>
          <w:szCs w:val="22"/>
        </w:rPr>
        <w:t>Directions for colleague evaluations are in Faculty Bylaws, section 5.360</w:t>
      </w:r>
      <w:r>
        <w:rPr>
          <w:rFonts w:ascii="Cambria" w:hAnsi="Cambria" w:cs="Shruti"/>
          <w:bCs/>
          <w:sz w:val="22"/>
          <w:szCs w:val="22"/>
        </w:rPr>
        <w:t>. F</w:t>
      </w:r>
      <w:r w:rsidRPr="00A775B1">
        <w:rPr>
          <w:rFonts w:ascii="Cambria" w:hAnsi="Cambria" w:cs="Shruti"/>
          <w:bCs/>
          <w:sz w:val="22"/>
          <w:szCs w:val="22"/>
        </w:rPr>
        <w:t xml:space="preserve">aculty applying for promotion must have a colleague evaluation </w:t>
      </w:r>
      <w:r>
        <w:rPr>
          <w:rFonts w:ascii="Cambria" w:hAnsi="Cambria" w:cs="Shruti"/>
          <w:bCs/>
          <w:sz w:val="22"/>
          <w:szCs w:val="22"/>
        </w:rPr>
        <w:t>dated no more than two calendar years prior to the date of the application</w:t>
      </w:r>
      <w:r w:rsidR="00A06091">
        <w:rPr>
          <w:rFonts w:ascii="Cambria" w:hAnsi="Cambria" w:cs="Shruti"/>
          <w:bCs/>
          <w:sz w:val="22"/>
          <w:szCs w:val="22"/>
        </w:rPr>
        <w:t xml:space="preserve"> </w:t>
      </w:r>
      <w:r w:rsidRPr="00A775B1">
        <w:rPr>
          <w:rFonts w:ascii="Cambria" w:hAnsi="Cambria" w:cs="Shruti"/>
          <w:bCs/>
          <w:sz w:val="22"/>
          <w:szCs w:val="22"/>
        </w:rPr>
        <w:t>(see Faculty Bylaws, section 5.222)</w:t>
      </w:r>
      <w:r w:rsidR="00CB0D57">
        <w:rPr>
          <w:rFonts w:ascii="Cambria" w:hAnsi="Cambria" w:cs="Shruti"/>
          <w:bCs/>
          <w:sz w:val="22"/>
          <w:szCs w:val="22"/>
        </w:rPr>
        <w:t>.</w:t>
      </w:r>
    </w:p>
    <w:p w14:paraId="1BB3C22E" w14:textId="77777777" w:rsidR="00117487" w:rsidRDefault="00117487" w:rsidP="00663C59">
      <w:pPr>
        <w:pBdr>
          <w:bottom w:val="single" w:sz="4" w:space="1" w:color="auto"/>
        </w:pBdr>
        <w:rPr>
          <w:rStyle w:val="Heading"/>
          <w:rFonts w:ascii="Cambria" w:hAnsi="Cambria"/>
          <w:b/>
          <w:bCs/>
          <w:sz w:val="22"/>
          <w:szCs w:val="22"/>
        </w:rPr>
      </w:pPr>
    </w:p>
    <w:p w14:paraId="5A2D1B7A" w14:textId="31E15215" w:rsidR="00BE1187" w:rsidRDefault="00BE1187" w:rsidP="00663C59">
      <w:pPr>
        <w:pBdr>
          <w:bottom w:val="single" w:sz="4" w:space="1" w:color="auto"/>
        </w:pBdr>
        <w:rPr>
          <w:rStyle w:val="Heading"/>
          <w:rFonts w:ascii="Cambria" w:hAnsi="Cambria"/>
          <w:b/>
          <w:bCs/>
          <w:sz w:val="22"/>
          <w:szCs w:val="22"/>
        </w:rPr>
      </w:pPr>
      <w:r>
        <w:rPr>
          <w:rStyle w:val="Heading"/>
          <w:rFonts w:ascii="Cambria" w:hAnsi="Cambria"/>
          <w:b/>
          <w:bCs/>
          <w:sz w:val="22"/>
          <w:szCs w:val="22"/>
        </w:rPr>
        <w:t>What is due and when?</w:t>
      </w:r>
      <w:r w:rsidR="00013A01">
        <w:rPr>
          <w:rStyle w:val="Heading"/>
          <w:rFonts w:ascii="Cambria" w:hAnsi="Cambria"/>
          <w:b/>
          <w:bCs/>
          <w:sz w:val="22"/>
          <w:szCs w:val="22"/>
        </w:rPr>
        <w:t xml:space="preserve"> Recommended timeline:</w:t>
      </w:r>
    </w:p>
    <w:p w14:paraId="0F83FD14" w14:textId="77777777" w:rsidR="00BE1187" w:rsidRDefault="00BE1187" w:rsidP="00663C59">
      <w:pPr>
        <w:rPr>
          <w:rStyle w:val="Heading"/>
          <w:rFonts w:ascii="Cambria" w:hAnsi="Cambria"/>
          <w:b/>
          <w:bCs/>
          <w:sz w:val="22"/>
          <w:szCs w:val="22"/>
        </w:rPr>
      </w:pPr>
    </w:p>
    <w:p w14:paraId="7559C9A3" w14:textId="230727EB" w:rsidR="00BE1187" w:rsidRPr="003D3A18" w:rsidRDefault="00BE1187" w:rsidP="00663C59">
      <w:pPr>
        <w:ind w:left="1440" w:hanging="1440"/>
        <w:rPr>
          <w:rStyle w:val="Heading"/>
          <w:rFonts w:ascii="Cambria" w:hAnsi="Cambria"/>
          <w:bCs/>
          <w:sz w:val="22"/>
          <w:szCs w:val="22"/>
        </w:rPr>
      </w:pPr>
      <w:r w:rsidRPr="003D3A18">
        <w:rPr>
          <w:rStyle w:val="Heading"/>
          <w:rFonts w:ascii="Cambria" w:hAnsi="Cambria"/>
          <w:b/>
          <w:bCs/>
          <w:sz w:val="22"/>
          <w:szCs w:val="22"/>
        </w:rPr>
        <w:t>November 1</w:t>
      </w:r>
      <w:r w:rsidRPr="003D3A18">
        <w:rPr>
          <w:rStyle w:val="Heading"/>
          <w:rFonts w:ascii="Cambria" w:hAnsi="Cambria"/>
          <w:bCs/>
          <w:sz w:val="22"/>
          <w:szCs w:val="22"/>
        </w:rPr>
        <w:t xml:space="preserve"> – </w:t>
      </w:r>
      <w:r w:rsidRPr="003D3A18">
        <w:rPr>
          <w:rStyle w:val="Heading"/>
          <w:rFonts w:ascii="Cambria" w:hAnsi="Cambria"/>
          <w:bCs/>
          <w:sz w:val="22"/>
          <w:szCs w:val="22"/>
        </w:rPr>
        <w:tab/>
      </w:r>
      <w:r w:rsidR="00D03ADA">
        <w:rPr>
          <w:rStyle w:val="Heading"/>
          <w:rFonts w:ascii="Cambria" w:hAnsi="Cambria"/>
          <w:bCs/>
          <w:sz w:val="22"/>
          <w:szCs w:val="22"/>
        </w:rPr>
        <w:t>Division Directors provide chairs with a tentative list of annual and colleague evaluations</w:t>
      </w:r>
      <w:r w:rsidR="004458A0">
        <w:rPr>
          <w:rStyle w:val="Heading"/>
          <w:rFonts w:ascii="Cambria" w:hAnsi="Cambria"/>
          <w:bCs/>
          <w:sz w:val="22"/>
          <w:szCs w:val="22"/>
        </w:rPr>
        <w:t xml:space="preserve"> </w:t>
      </w:r>
      <w:r w:rsidR="00D03ADA">
        <w:rPr>
          <w:rStyle w:val="Heading"/>
          <w:rFonts w:ascii="Cambria" w:hAnsi="Cambria"/>
          <w:bCs/>
          <w:sz w:val="22"/>
          <w:szCs w:val="22"/>
        </w:rPr>
        <w:t xml:space="preserve">for review. </w:t>
      </w:r>
      <w:r w:rsidRPr="003D3A18">
        <w:rPr>
          <w:rStyle w:val="Heading"/>
          <w:rFonts w:ascii="Cambria" w:hAnsi="Cambria"/>
          <w:bCs/>
          <w:sz w:val="22"/>
          <w:szCs w:val="22"/>
        </w:rPr>
        <w:t xml:space="preserve">Chair </w:t>
      </w:r>
      <w:r w:rsidR="004458A0">
        <w:rPr>
          <w:rStyle w:val="Heading"/>
          <w:rFonts w:ascii="Cambria" w:hAnsi="Cambria"/>
          <w:bCs/>
          <w:sz w:val="22"/>
          <w:szCs w:val="22"/>
        </w:rPr>
        <w:t>finalizes</w:t>
      </w:r>
      <w:r w:rsidR="00F80042">
        <w:rPr>
          <w:rStyle w:val="Heading"/>
          <w:rFonts w:ascii="Cambria" w:hAnsi="Cambria"/>
          <w:bCs/>
          <w:sz w:val="22"/>
          <w:szCs w:val="22"/>
        </w:rPr>
        <w:t xml:space="preserve"> list of annual and colleague evaluations with the</w:t>
      </w:r>
      <w:r w:rsidRPr="003D3A18">
        <w:rPr>
          <w:rStyle w:val="Heading"/>
          <w:rFonts w:ascii="Cambria" w:hAnsi="Cambria"/>
          <w:bCs/>
          <w:sz w:val="22"/>
          <w:szCs w:val="22"/>
        </w:rPr>
        <w:t xml:space="preserve"> Division Director</w:t>
      </w:r>
      <w:r w:rsidR="00D03ADA">
        <w:rPr>
          <w:rStyle w:val="Heading"/>
          <w:rFonts w:ascii="Cambria" w:hAnsi="Cambria"/>
          <w:bCs/>
          <w:sz w:val="22"/>
          <w:szCs w:val="22"/>
        </w:rPr>
        <w:t xml:space="preserve"> by November 15</w:t>
      </w:r>
      <w:r w:rsidR="00F80042">
        <w:rPr>
          <w:rStyle w:val="Heading"/>
          <w:rFonts w:ascii="Cambria" w:hAnsi="Cambria"/>
          <w:bCs/>
          <w:sz w:val="22"/>
          <w:szCs w:val="22"/>
        </w:rPr>
        <w:t>.</w:t>
      </w:r>
      <w:r w:rsidRPr="003D3A18">
        <w:rPr>
          <w:rStyle w:val="Heading"/>
          <w:rFonts w:ascii="Cambria" w:hAnsi="Cambria"/>
          <w:bCs/>
          <w:sz w:val="22"/>
          <w:szCs w:val="22"/>
        </w:rPr>
        <w:t xml:space="preserve"> </w:t>
      </w:r>
      <w:r>
        <w:rPr>
          <w:rFonts w:ascii="Cambria" w:hAnsi="Cambria" w:cs="Calibri"/>
          <w:sz w:val="22"/>
          <w:szCs w:val="22"/>
        </w:rPr>
        <w:t xml:space="preserve">Division Directors </w:t>
      </w:r>
      <w:r w:rsidR="004458A0">
        <w:rPr>
          <w:rFonts w:ascii="Cambria" w:hAnsi="Cambria" w:cs="Calibri"/>
          <w:sz w:val="22"/>
          <w:szCs w:val="22"/>
        </w:rPr>
        <w:t xml:space="preserve">forward </w:t>
      </w:r>
      <w:r w:rsidR="008F68F5">
        <w:rPr>
          <w:rFonts w:ascii="Cambria" w:hAnsi="Cambria" w:cs="Calibri"/>
          <w:sz w:val="22"/>
          <w:szCs w:val="22"/>
        </w:rPr>
        <w:t xml:space="preserve">evaluation schedule </w:t>
      </w:r>
      <w:r w:rsidRPr="002A09FB">
        <w:rPr>
          <w:rFonts w:ascii="Cambria" w:hAnsi="Cambria" w:cs="Calibri"/>
          <w:sz w:val="22"/>
          <w:szCs w:val="22"/>
        </w:rPr>
        <w:t xml:space="preserve">to the Provost by </w:t>
      </w:r>
      <w:r>
        <w:rPr>
          <w:rFonts w:ascii="Cambria" w:hAnsi="Cambria" w:cs="Calibri"/>
          <w:sz w:val="22"/>
          <w:szCs w:val="22"/>
        </w:rPr>
        <w:t>November 15</w:t>
      </w:r>
      <w:r w:rsidRPr="002A09FB">
        <w:rPr>
          <w:rFonts w:ascii="Cambria" w:hAnsi="Cambria" w:cs="Calibri"/>
          <w:sz w:val="22"/>
          <w:szCs w:val="22"/>
        </w:rPr>
        <w:t>.</w:t>
      </w:r>
    </w:p>
    <w:p w14:paraId="109973D8" w14:textId="77777777" w:rsidR="00BE1187" w:rsidRPr="003D3A18" w:rsidRDefault="00BE1187" w:rsidP="00663C59">
      <w:pPr>
        <w:rPr>
          <w:rStyle w:val="Heading"/>
          <w:rFonts w:ascii="Cambria" w:hAnsi="Cambria"/>
          <w:bCs/>
          <w:sz w:val="22"/>
          <w:szCs w:val="22"/>
        </w:rPr>
      </w:pPr>
    </w:p>
    <w:p w14:paraId="69FDE23C" w14:textId="149219C1" w:rsidR="00BE1187" w:rsidRDefault="00BE1187" w:rsidP="00663C59">
      <w:pPr>
        <w:ind w:left="1440" w:hanging="1440"/>
        <w:rPr>
          <w:rFonts w:ascii="Cambria" w:hAnsi="Cambria" w:cs="Calibri"/>
          <w:sz w:val="22"/>
          <w:szCs w:val="22"/>
        </w:rPr>
      </w:pPr>
      <w:r w:rsidRPr="005D36A9">
        <w:rPr>
          <w:rStyle w:val="Heading"/>
          <w:rFonts w:ascii="Cambria" w:hAnsi="Cambria"/>
          <w:b/>
          <w:bCs/>
          <w:sz w:val="22"/>
          <w:szCs w:val="22"/>
        </w:rPr>
        <w:t>November</w:t>
      </w:r>
      <w:r w:rsidRPr="003D3A18">
        <w:rPr>
          <w:rStyle w:val="Heading"/>
          <w:rFonts w:ascii="Cambria" w:hAnsi="Cambria"/>
          <w:b/>
          <w:bCs/>
          <w:sz w:val="22"/>
          <w:szCs w:val="22"/>
        </w:rPr>
        <w:t xml:space="preserve"> 1</w:t>
      </w:r>
      <w:r>
        <w:rPr>
          <w:rStyle w:val="Heading"/>
          <w:rFonts w:ascii="Cambria" w:hAnsi="Cambria"/>
          <w:bCs/>
          <w:sz w:val="22"/>
          <w:szCs w:val="22"/>
        </w:rPr>
        <w:t xml:space="preserve"> </w:t>
      </w:r>
      <w:r w:rsidRPr="003D3A18">
        <w:rPr>
          <w:rStyle w:val="Heading"/>
          <w:rFonts w:ascii="Cambria" w:hAnsi="Cambria"/>
          <w:bCs/>
          <w:sz w:val="22"/>
          <w:szCs w:val="22"/>
        </w:rPr>
        <w:t>–</w:t>
      </w:r>
      <w:r>
        <w:rPr>
          <w:rStyle w:val="Heading"/>
          <w:rFonts w:ascii="Cambria" w:hAnsi="Cambria"/>
          <w:bCs/>
          <w:sz w:val="22"/>
          <w:szCs w:val="22"/>
        </w:rPr>
        <w:tab/>
      </w:r>
      <w:r>
        <w:rPr>
          <w:rFonts w:ascii="Cambria" w:hAnsi="Cambria" w:cs="Calibri"/>
          <w:sz w:val="22"/>
          <w:szCs w:val="22"/>
        </w:rPr>
        <w:t>Chair to provide p</w:t>
      </w:r>
      <w:r w:rsidRPr="002A09FB">
        <w:rPr>
          <w:rFonts w:ascii="Cambria" w:hAnsi="Cambria" w:cs="Calibri"/>
          <w:sz w:val="22"/>
          <w:szCs w:val="22"/>
        </w:rPr>
        <w:t>rogram’s recommendation</w:t>
      </w:r>
      <w:r>
        <w:rPr>
          <w:rFonts w:ascii="Cambria" w:hAnsi="Cambria" w:cs="Calibri"/>
          <w:sz w:val="22"/>
          <w:szCs w:val="22"/>
        </w:rPr>
        <w:t xml:space="preserve"> to Division Director</w:t>
      </w:r>
      <w:r w:rsidRPr="002A09FB">
        <w:rPr>
          <w:rFonts w:ascii="Cambria" w:hAnsi="Cambria" w:cs="Calibri"/>
          <w:sz w:val="22"/>
          <w:szCs w:val="22"/>
        </w:rPr>
        <w:t xml:space="preserve"> on reappointment of non</w:t>
      </w:r>
      <w:r w:rsidR="005D36A9">
        <w:rPr>
          <w:rFonts w:ascii="Cambria" w:hAnsi="Cambria" w:cs="Calibri"/>
          <w:sz w:val="22"/>
          <w:szCs w:val="22"/>
        </w:rPr>
        <w:t>-</w:t>
      </w:r>
      <w:r w:rsidRPr="002A09FB">
        <w:rPr>
          <w:rFonts w:ascii="Cambria" w:hAnsi="Cambria" w:cs="Calibri"/>
          <w:sz w:val="22"/>
          <w:szCs w:val="22"/>
        </w:rPr>
        <w:t>tenured faculty</w:t>
      </w:r>
      <w:r>
        <w:rPr>
          <w:rFonts w:ascii="Cambria" w:hAnsi="Cambria" w:cs="Calibri"/>
          <w:sz w:val="22"/>
          <w:szCs w:val="22"/>
        </w:rPr>
        <w:t xml:space="preserve"> in their 2</w:t>
      </w:r>
      <w:r w:rsidRPr="003D3A18">
        <w:rPr>
          <w:rFonts w:ascii="Cambria" w:hAnsi="Cambria" w:cs="Calibri"/>
          <w:sz w:val="22"/>
          <w:szCs w:val="22"/>
          <w:vertAlign w:val="superscript"/>
        </w:rPr>
        <w:t>nd</w:t>
      </w:r>
      <w:r>
        <w:rPr>
          <w:rFonts w:ascii="Cambria" w:hAnsi="Cambria" w:cs="Calibri"/>
          <w:sz w:val="22"/>
          <w:szCs w:val="22"/>
        </w:rPr>
        <w:t xml:space="preserve"> year of service. Division Directors </w:t>
      </w:r>
      <w:r w:rsidR="004458A0">
        <w:rPr>
          <w:rFonts w:ascii="Cambria" w:hAnsi="Cambria" w:cs="Calibri"/>
          <w:sz w:val="22"/>
          <w:szCs w:val="22"/>
        </w:rPr>
        <w:t xml:space="preserve">forward recommendations </w:t>
      </w:r>
      <w:r>
        <w:rPr>
          <w:rFonts w:ascii="Cambria" w:hAnsi="Cambria" w:cs="Calibri"/>
          <w:sz w:val="22"/>
          <w:szCs w:val="22"/>
        </w:rPr>
        <w:t xml:space="preserve">directly </w:t>
      </w:r>
      <w:r w:rsidRPr="002A09FB">
        <w:rPr>
          <w:rFonts w:ascii="Cambria" w:hAnsi="Cambria" w:cs="Calibri"/>
          <w:sz w:val="22"/>
          <w:szCs w:val="22"/>
        </w:rPr>
        <w:t>to the Provost.</w:t>
      </w:r>
    </w:p>
    <w:p w14:paraId="4BDCFD8D" w14:textId="77777777" w:rsidR="00BE1187" w:rsidRDefault="00BE1187" w:rsidP="00663C59">
      <w:pPr>
        <w:rPr>
          <w:rFonts w:ascii="Cambria" w:hAnsi="Cambria" w:cs="Calibri"/>
          <w:sz w:val="22"/>
          <w:szCs w:val="22"/>
        </w:rPr>
      </w:pPr>
    </w:p>
    <w:p w14:paraId="77F7D752" w14:textId="23A9F675" w:rsidR="00BE1187" w:rsidRDefault="00BE1187" w:rsidP="00663C59">
      <w:pPr>
        <w:ind w:left="1440" w:hanging="1440"/>
        <w:rPr>
          <w:rFonts w:ascii="Cambria" w:hAnsi="Cambria" w:cs="Calibri"/>
          <w:sz w:val="22"/>
          <w:szCs w:val="22"/>
        </w:rPr>
      </w:pPr>
      <w:r w:rsidRPr="003D3A18">
        <w:rPr>
          <w:rFonts w:ascii="Cambria" w:hAnsi="Cambria" w:cs="Calibri"/>
          <w:b/>
          <w:sz w:val="22"/>
          <w:szCs w:val="22"/>
        </w:rPr>
        <w:t>February 1</w:t>
      </w:r>
      <w:r>
        <w:rPr>
          <w:rFonts w:ascii="Cambria" w:hAnsi="Cambria" w:cs="Calibri"/>
          <w:sz w:val="22"/>
          <w:szCs w:val="22"/>
        </w:rPr>
        <w:t xml:space="preserve"> </w:t>
      </w:r>
      <w:r w:rsidRPr="003D3A18">
        <w:rPr>
          <w:rStyle w:val="Heading"/>
          <w:rFonts w:ascii="Cambria" w:hAnsi="Cambria"/>
          <w:bCs/>
          <w:sz w:val="22"/>
          <w:szCs w:val="22"/>
        </w:rPr>
        <w:t>–</w:t>
      </w:r>
      <w:r>
        <w:rPr>
          <w:rFonts w:ascii="Cambria" w:hAnsi="Cambria" w:cs="Calibri"/>
          <w:sz w:val="22"/>
          <w:szCs w:val="22"/>
        </w:rPr>
        <w:tab/>
        <w:t>Chair to provide p</w:t>
      </w:r>
      <w:r w:rsidRPr="002A09FB">
        <w:rPr>
          <w:rFonts w:ascii="Cambria" w:hAnsi="Cambria" w:cs="Calibri"/>
          <w:sz w:val="22"/>
          <w:szCs w:val="22"/>
        </w:rPr>
        <w:t>rogram’s recommendation</w:t>
      </w:r>
      <w:r>
        <w:rPr>
          <w:rFonts w:ascii="Cambria" w:hAnsi="Cambria" w:cs="Calibri"/>
          <w:sz w:val="22"/>
          <w:szCs w:val="22"/>
        </w:rPr>
        <w:t xml:space="preserve"> to Division Director</w:t>
      </w:r>
      <w:r w:rsidRPr="002A09FB">
        <w:rPr>
          <w:rFonts w:ascii="Cambria" w:hAnsi="Cambria" w:cs="Calibri"/>
          <w:sz w:val="22"/>
          <w:szCs w:val="22"/>
        </w:rPr>
        <w:t xml:space="preserve"> on reappointment of non-</w:t>
      </w:r>
      <w:r w:rsidR="005D36A9">
        <w:rPr>
          <w:rFonts w:ascii="Cambria" w:hAnsi="Cambria" w:cs="Calibri"/>
          <w:sz w:val="22"/>
          <w:szCs w:val="22"/>
        </w:rPr>
        <w:t>t</w:t>
      </w:r>
      <w:r w:rsidRPr="002A09FB">
        <w:rPr>
          <w:rFonts w:ascii="Cambria" w:hAnsi="Cambria" w:cs="Calibri"/>
          <w:sz w:val="22"/>
          <w:szCs w:val="22"/>
        </w:rPr>
        <w:t>enured faculty</w:t>
      </w:r>
      <w:r>
        <w:rPr>
          <w:rFonts w:ascii="Cambria" w:hAnsi="Cambria" w:cs="Calibri"/>
          <w:sz w:val="22"/>
          <w:szCs w:val="22"/>
        </w:rPr>
        <w:t xml:space="preserve"> in their 1</w:t>
      </w:r>
      <w:r w:rsidRPr="003D3A18">
        <w:rPr>
          <w:rFonts w:ascii="Cambria" w:hAnsi="Cambria" w:cs="Calibri"/>
          <w:sz w:val="22"/>
          <w:szCs w:val="22"/>
          <w:vertAlign w:val="superscript"/>
        </w:rPr>
        <w:t>st</w:t>
      </w:r>
      <w:r>
        <w:rPr>
          <w:rFonts w:ascii="Cambria" w:hAnsi="Cambria" w:cs="Calibri"/>
          <w:sz w:val="22"/>
          <w:szCs w:val="22"/>
        </w:rPr>
        <w:t xml:space="preserve"> year of service. Division</w:t>
      </w:r>
      <w:r w:rsidR="005D36A9">
        <w:rPr>
          <w:rFonts w:ascii="Cambria" w:hAnsi="Cambria" w:cs="Calibri"/>
          <w:sz w:val="22"/>
          <w:szCs w:val="22"/>
        </w:rPr>
        <w:t xml:space="preserve"> </w:t>
      </w:r>
      <w:r>
        <w:rPr>
          <w:rFonts w:ascii="Cambria" w:hAnsi="Cambria" w:cs="Calibri"/>
          <w:sz w:val="22"/>
          <w:szCs w:val="22"/>
        </w:rPr>
        <w:t xml:space="preserve">Directors </w:t>
      </w:r>
      <w:r w:rsidR="005D36A9">
        <w:rPr>
          <w:rFonts w:ascii="Cambria" w:hAnsi="Cambria" w:cs="Calibri"/>
          <w:sz w:val="22"/>
          <w:szCs w:val="22"/>
        </w:rPr>
        <w:t xml:space="preserve">forward recommendations </w:t>
      </w:r>
      <w:r>
        <w:rPr>
          <w:rFonts w:ascii="Cambria" w:hAnsi="Cambria" w:cs="Calibri"/>
          <w:sz w:val="22"/>
          <w:szCs w:val="22"/>
        </w:rPr>
        <w:t xml:space="preserve">directly </w:t>
      </w:r>
      <w:r w:rsidRPr="002A09FB">
        <w:rPr>
          <w:rFonts w:ascii="Cambria" w:hAnsi="Cambria" w:cs="Calibri"/>
          <w:sz w:val="22"/>
          <w:szCs w:val="22"/>
        </w:rPr>
        <w:t>to the Provost.</w:t>
      </w:r>
    </w:p>
    <w:p w14:paraId="7A0C6177" w14:textId="77777777" w:rsidR="00BE1187" w:rsidRDefault="00BE1187" w:rsidP="00663C59">
      <w:pPr>
        <w:rPr>
          <w:rStyle w:val="Heading"/>
          <w:rFonts w:ascii="Cambria" w:hAnsi="Cambria"/>
          <w:bCs/>
          <w:sz w:val="22"/>
          <w:szCs w:val="22"/>
        </w:rPr>
      </w:pPr>
    </w:p>
    <w:p w14:paraId="48041C06" w14:textId="4AFF3A1D" w:rsidR="00BE1187" w:rsidRDefault="00BE1187" w:rsidP="00663C59">
      <w:pPr>
        <w:ind w:left="1440" w:hanging="1440"/>
        <w:rPr>
          <w:rFonts w:ascii="Cambria" w:hAnsi="Cambria" w:cs="Calibri"/>
          <w:sz w:val="22"/>
          <w:szCs w:val="22"/>
        </w:rPr>
      </w:pPr>
      <w:r w:rsidRPr="003D3A18">
        <w:rPr>
          <w:rStyle w:val="Heading"/>
          <w:rFonts w:ascii="Cambria" w:hAnsi="Cambria"/>
          <w:b/>
          <w:bCs/>
          <w:sz w:val="22"/>
          <w:szCs w:val="22"/>
        </w:rPr>
        <w:t>May 1</w:t>
      </w:r>
      <w:r>
        <w:rPr>
          <w:rStyle w:val="Heading"/>
          <w:rFonts w:ascii="Cambria" w:hAnsi="Cambria"/>
          <w:bCs/>
          <w:sz w:val="22"/>
          <w:szCs w:val="22"/>
        </w:rPr>
        <w:t xml:space="preserve"> </w:t>
      </w:r>
      <w:r w:rsidRPr="003D3A18">
        <w:rPr>
          <w:rStyle w:val="Heading"/>
          <w:rFonts w:ascii="Cambria" w:hAnsi="Cambria"/>
          <w:bCs/>
          <w:sz w:val="22"/>
          <w:szCs w:val="22"/>
        </w:rPr>
        <w:t>–</w:t>
      </w:r>
      <w:r>
        <w:rPr>
          <w:rStyle w:val="Heading"/>
          <w:rFonts w:ascii="Cambria" w:hAnsi="Cambria"/>
          <w:bCs/>
          <w:sz w:val="22"/>
          <w:szCs w:val="22"/>
        </w:rPr>
        <w:tab/>
      </w:r>
      <w:r>
        <w:rPr>
          <w:rFonts w:ascii="Cambria" w:hAnsi="Cambria" w:cs="Calibri"/>
          <w:sz w:val="22"/>
          <w:szCs w:val="22"/>
        </w:rPr>
        <w:t>Chair to provide p</w:t>
      </w:r>
      <w:r w:rsidRPr="002A09FB">
        <w:rPr>
          <w:rFonts w:ascii="Cambria" w:hAnsi="Cambria" w:cs="Calibri"/>
          <w:sz w:val="22"/>
          <w:szCs w:val="22"/>
        </w:rPr>
        <w:t>rogram’s recommendation</w:t>
      </w:r>
      <w:r>
        <w:rPr>
          <w:rFonts w:ascii="Cambria" w:hAnsi="Cambria" w:cs="Calibri"/>
          <w:sz w:val="22"/>
          <w:szCs w:val="22"/>
        </w:rPr>
        <w:t xml:space="preserve"> to Division Director</w:t>
      </w:r>
      <w:r w:rsidRPr="002A09FB">
        <w:rPr>
          <w:rFonts w:ascii="Cambria" w:hAnsi="Cambria" w:cs="Calibri"/>
          <w:sz w:val="22"/>
          <w:szCs w:val="22"/>
        </w:rPr>
        <w:t xml:space="preserve"> on reappointment of non-tenured faculty</w:t>
      </w:r>
      <w:r>
        <w:rPr>
          <w:rFonts w:ascii="Cambria" w:hAnsi="Cambria" w:cs="Calibri"/>
          <w:sz w:val="22"/>
          <w:szCs w:val="22"/>
        </w:rPr>
        <w:t xml:space="preserve"> in their 3</w:t>
      </w:r>
      <w:r w:rsidRPr="003D3A18">
        <w:rPr>
          <w:rFonts w:ascii="Cambria" w:hAnsi="Cambria" w:cs="Calibri"/>
          <w:sz w:val="22"/>
          <w:szCs w:val="22"/>
          <w:vertAlign w:val="superscript"/>
        </w:rPr>
        <w:t>rd</w:t>
      </w:r>
      <w:r>
        <w:rPr>
          <w:rFonts w:ascii="Cambria" w:hAnsi="Cambria" w:cs="Calibri"/>
          <w:sz w:val="22"/>
          <w:szCs w:val="22"/>
        </w:rPr>
        <w:t xml:space="preserve"> or subsequent year of service. Division Directors </w:t>
      </w:r>
      <w:r w:rsidR="005D36A9">
        <w:rPr>
          <w:rFonts w:ascii="Cambria" w:hAnsi="Cambria" w:cs="Calibri"/>
          <w:sz w:val="22"/>
          <w:szCs w:val="22"/>
        </w:rPr>
        <w:t xml:space="preserve">forward recommendations </w:t>
      </w:r>
      <w:r>
        <w:rPr>
          <w:rFonts w:ascii="Cambria" w:hAnsi="Cambria" w:cs="Calibri"/>
          <w:sz w:val="22"/>
          <w:szCs w:val="22"/>
        </w:rPr>
        <w:t xml:space="preserve">directly </w:t>
      </w:r>
      <w:r w:rsidRPr="002A09FB">
        <w:rPr>
          <w:rFonts w:ascii="Cambria" w:hAnsi="Cambria" w:cs="Calibri"/>
          <w:sz w:val="22"/>
          <w:szCs w:val="22"/>
        </w:rPr>
        <w:t>to the Provost.</w:t>
      </w:r>
    </w:p>
    <w:p w14:paraId="60B3ED84" w14:textId="77777777" w:rsidR="00BE1187" w:rsidRPr="003D3A18" w:rsidRDefault="00BE1187" w:rsidP="00663C59">
      <w:pPr>
        <w:rPr>
          <w:rStyle w:val="Heading"/>
          <w:rFonts w:ascii="Cambria" w:hAnsi="Cambria"/>
          <w:bCs/>
          <w:sz w:val="22"/>
          <w:szCs w:val="22"/>
        </w:rPr>
      </w:pPr>
    </w:p>
    <w:p w14:paraId="71ABCAE6" w14:textId="77777777" w:rsidR="00BE1187" w:rsidRDefault="00BE1187" w:rsidP="004458A0">
      <w:pPr>
        <w:widowControl/>
        <w:rPr>
          <w:rStyle w:val="Heading"/>
          <w:rFonts w:ascii="Cambria" w:hAnsi="Cambria"/>
          <w:bCs/>
          <w:sz w:val="22"/>
          <w:szCs w:val="22"/>
        </w:rPr>
      </w:pPr>
      <w:r w:rsidRPr="00817185">
        <w:rPr>
          <w:rStyle w:val="Heading"/>
          <w:rFonts w:ascii="Cambria" w:hAnsi="Cambria"/>
          <w:b/>
          <w:bCs/>
          <w:sz w:val="22"/>
          <w:szCs w:val="22"/>
        </w:rPr>
        <w:t>June 1</w:t>
      </w:r>
      <w:r>
        <w:rPr>
          <w:rStyle w:val="Heading"/>
          <w:rFonts w:ascii="Cambria" w:hAnsi="Cambria"/>
          <w:bCs/>
          <w:sz w:val="22"/>
          <w:szCs w:val="22"/>
        </w:rPr>
        <w:t xml:space="preserve"> – </w:t>
      </w:r>
      <w:r>
        <w:rPr>
          <w:rStyle w:val="Heading"/>
          <w:rFonts w:ascii="Cambria" w:hAnsi="Cambria"/>
          <w:bCs/>
          <w:sz w:val="22"/>
          <w:szCs w:val="22"/>
        </w:rPr>
        <w:tab/>
        <w:t xml:space="preserve">Evaluations (chair evaluations and colleague evaluations) can be submitted to Division </w:t>
      </w:r>
    </w:p>
    <w:p w14:paraId="76E1B507" w14:textId="79EE7BCB" w:rsidR="00D4589E" w:rsidRDefault="00BE1187" w:rsidP="005D36A9">
      <w:pPr>
        <w:ind w:left="1440"/>
        <w:rPr>
          <w:rFonts w:ascii="Cambria" w:hAnsi="Cambria" w:cs="Calibri"/>
          <w:sz w:val="22"/>
          <w:szCs w:val="22"/>
        </w:rPr>
      </w:pPr>
      <w:r>
        <w:rPr>
          <w:rStyle w:val="Heading"/>
          <w:rFonts w:ascii="Cambria" w:hAnsi="Cambria"/>
          <w:bCs/>
          <w:sz w:val="22"/>
          <w:szCs w:val="22"/>
        </w:rPr>
        <w:t xml:space="preserve">Directors </w:t>
      </w:r>
      <w:r>
        <w:rPr>
          <w:rFonts w:ascii="Cambria" w:hAnsi="Cambria" w:cs="Calibri"/>
          <w:sz w:val="22"/>
          <w:szCs w:val="22"/>
        </w:rPr>
        <w:t>throughout the year; however, a</w:t>
      </w:r>
      <w:r w:rsidRPr="002A09FB">
        <w:rPr>
          <w:rFonts w:ascii="Cambria" w:hAnsi="Cambria" w:cs="Calibri"/>
          <w:sz w:val="22"/>
          <w:szCs w:val="22"/>
        </w:rPr>
        <w:t xml:space="preserve">ll evaluations are due to the Division Director no later than June 1. </w:t>
      </w:r>
      <w:r w:rsidR="00117487">
        <w:rPr>
          <w:rFonts w:ascii="Cambria" w:hAnsi="Cambria" w:cs="Calibri"/>
          <w:sz w:val="22"/>
          <w:szCs w:val="22"/>
        </w:rPr>
        <w:t xml:space="preserve">Personnel committees </w:t>
      </w:r>
      <w:r w:rsidR="00345C80">
        <w:rPr>
          <w:rFonts w:ascii="Cambria" w:hAnsi="Cambria" w:cs="Calibri"/>
          <w:sz w:val="22"/>
          <w:szCs w:val="22"/>
        </w:rPr>
        <w:t xml:space="preserve">should </w:t>
      </w:r>
      <w:r w:rsidR="00D03ADA">
        <w:rPr>
          <w:rFonts w:ascii="Cambria" w:hAnsi="Cambria" w:cs="Calibri"/>
          <w:sz w:val="22"/>
          <w:szCs w:val="22"/>
        </w:rPr>
        <w:t>begin the process for corrective action</w:t>
      </w:r>
      <w:r w:rsidR="00117487">
        <w:rPr>
          <w:rFonts w:ascii="Cambria" w:hAnsi="Cambria" w:cs="Calibri"/>
          <w:sz w:val="22"/>
          <w:szCs w:val="22"/>
        </w:rPr>
        <w:t xml:space="preserve"> </w:t>
      </w:r>
      <w:r w:rsidR="00345C80">
        <w:rPr>
          <w:rFonts w:ascii="Cambria" w:hAnsi="Cambria" w:cs="Calibri"/>
          <w:sz w:val="22"/>
          <w:szCs w:val="22"/>
        </w:rPr>
        <w:t>up</w:t>
      </w:r>
      <w:r w:rsidR="00117487">
        <w:rPr>
          <w:rFonts w:ascii="Cambria" w:hAnsi="Cambria" w:cs="Calibri"/>
          <w:sz w:val="22"/>
          <w:szCs w:val="22"/>
        </w:rPr>
        <w:t xml:space="preserve">on </w:t>
      </w:r>
      <w:r w:rsidR="00D03ADA">
        <w:rPr>
          <w:rFonts w:ascii="Cambria" w:hAnsi="Cambria" w:cs="Calibri"/>
          <w:sz w:val="22"/>
          <w:szCs w:val="22"/>
        </w:rPr>
        <w:t>receipt of a</w:t>
      </w:r>
      <w:r w:rsidR="00345C80">
        <w:rPr>
          <w:rFonts w:ascii="Cambria" w:hAnsi="Cambria" w:cs="Calibri"/>
          <w:sz w:val="22"/>
          <w:szCs w:val="22"/>
        </w:rPr>
        <w:t xml:space="preserve"> colleague</w:t>
      </w:r>
      <w:r w:rsidR="00D03ADA">
        <w:rPr>
          <w:rFonts w:ascii="Cambria" w:hAnsi="Cambria" w:cs="Calibri"/>
          <w:sz w:val="22"/>
          <w:szCs w:val="22"/>
        </w:rPr>
        <w:t xml:space="preserve"> evaluation with deficiencies requiring further review</w:t>
      </w:r>
      <w:r w:rsidR="00345C80">
        <w:rPr>
          <w:rFonts w:ascii="Cambria" w:hAnsi="Cambria" w:cs="Calibri"/>
          <w:sz w:val="22"/>
          <w:szCs w:val="22"/>
        </w:rPr>
        <w:t>, see</w:t>
      </w:r>
      <w:r w:rsidR="00117487">
        <w:rPr>
          <w:rFonts w:ascii="Cambria" w:hAnsi="Cambria" w:cs="Calibri"/>
          <w:sz w:val="22"/>
          <w:szCs w:val="22"/>
        </w:rPr>
        <w:t xml:space="preserve"> Faculty Bylaws, section 5.370.</w:t>
      </w:r>
      <w:r w:rsidR="00D03ADA" w:rsidRPr="00D03ADA">
        <w:rPr>
          <w:rFonts w:ascii="Cambria" w:hAnsi="Cambria" w:cs="Calibri"/>
          <w:sz w:val="22"/>
          <w:szCs w:val="22"/>
        </w:rPr>
        <w:t xml:space="preserve"> </w:t>
      </w:r>
      <w:r w:rsidR="00D03ADA">
        <w:rPr>
          <w:rFonts w:ascii="Cambria" w:hAnsi="Cambria" w:cs="Calibri"/>
          <w:sz w:val="22"/>
          <w:szCs w:val="22"/>
        </w:rPr>
        <w:t xml:space="preserve">Division Directors </w:t>
      </w:r>
      <w:r w:rsidR="001A75B6">
        <w:rPr>
          <w:rFonts w:ascii="Cambria" w:hAnsi="Cambria" w:cs="Calibri"/>
          <w:sz w:val="22"/>
          <w:szCs w:val="22"/>
        </w:rPr>
        <w:t>forward</w:t>
      </w:r>
      <w:r w:rsidR="005D36A9">
        <w:rPr>
          <w:rFonts w:ascii="Cambria" w:hAnsi="Cambria" w:cs="Calibri"/>
          <w:sz w:val="22"/>
          <w:szCs w:val="22"/>
        </w:rPr>
        <w:t xml:space="preserve"> all e</w:t>
      </w:r>
      <w:r w:rsidR="005D36A9" w:rsidRPr="002A09FB">
        <w:rPr>
          <w:rFonts w:ascii="Cambria" w:hAnsi="Cambria" w:cs="Calibri"/>
          <w:sz w:val="22"/>
          <w:szCs w:val="22"/>
        </w:rPr>
        <w:t xml:space="preserve">valuations </w:t>
      </w:r>
      <w:r w:rsidR="00D03ADA" w:rsidRPr="002A09FB">
        <w:rPr>
          <w:rFonts w:ascii="Cambria" w:hAnsi="Cambria" w:cs="Calibri"/>
          <w:sz w:val="22"/>
          <w:szCs w:val="22"/>
        </w:rPr>
        <w:t>to the Provost by June 30.</w:t>
      </w:r>
      <w:r w:rsidR="00D03ADA" w:rsidRPr="00A6174C">
        <w:rPr>
          <w:rFonts w:ascii="Cambria" w:hAnsi="Cambria" w:cs="Calibri"/>
          <w:sz w:val="22"/>
          <w:szCs w:val="22"/>
        </w:rPr>
        <w:t xml:space="preserve"> </w:t>
      </w:r>
    </w:p>
    <w:p w14:paraId="4D10218B" w14:textId="77777777" w:rsidR="00D4589E" w:rsidRDefault="00D4589E">
      <w:pPr>
        <w:widowControl/>
        <w:autoSpaceDE/>
        <w:autoSpaceDN/>
        <w:adjustRightInd/>
        <w:spacing w:after="200" w:line="276" w:lineRule="auto"/>
        <w:rPr>
          <w:rFonts w:ascii="Cambria" w:hAnsi="Cambria" w:cs="Calibri"/>
          <w:sz w:val="22"/>
          <w:szCs w:val="22"/>
        </w:rPr>
      </w:pPr>
      <w:r>
        <w:rPr>
          <w:rFonts w:ascii="Cambria" w:hAnsi="Cambria" w:cs="Calibri"/>
          <w:sz w:val="22"/>
          <w:szCs w:val="22"/>
        </w:rPr>
        <w:br w:type="page"/>
      </w:r>
    </w:p>
    <w:p w14:paraId="7EE3A2A4" w14:textId="77777777" w:rsidR="00D4589E" w:rsidRPr="00D4589E" w:rsidRDefault="00D4589E" w:rsidP="00D4589E">
      <w:pPr>
        <w:pBdr>
          <w:bottom w:val="single" w:sz="4" w:space="1" w:color="auto"/>
        </w:pBdr>
        <w:rPr>
          <w:rFonts w:ascii="Cambria" w:hAnsi="Cambria" w:cs="Arial"/>
          <w:b/>
          <w:color w:val="222222"/>
        </w:rPr>
      </w:pPr>
      <w:proofErr w:type="spellStart"/>
      <w:r w:rsidRPr="00D4589E">
        <w:rPr>
          <w:rFonts w:ascii="Cambria" w:hAnsi="Cambria" w:cs="Arial"/>
          <w:b/>
          <w:color w:val="222222"/>
        </w:rPr>
        <w:lastRenderedPageBreak/>
        <w:t>TxT</w:t>
      </w:r>
      <w:proofErr w:type="spellEnd"/>
      <w:r w:rsidRPr="00D4589E">
        <w:rPr>
          <w:rFonts w:ascii="Cambria" w:hAnsi="Cambria" w:cs="Arial"/>
          <w:b/>
          <w:color w:val="222222"/>
        </w:rPr>
        <w:t xml:space="preserve"> adjunct hiring information</w:t>
      </w:r>
    </w:p>
    <w:p w14:paraId="20BA2FED" w14:textId="77777777" w:rsidR="00D4589E" w:rsidRDefault="00D4589E" w:rsidP="00D4589E">
      <w:pPr>
        <w:rPr>
          <w:rFonts w:ascii="Cambria" w:hAnsi="Cambria" w:cs="Arial"/>
          <w:i/>
          <w:color w:val="222222"/>
        </w:rPr>
      </w:pPr>
    </w:p>
    <w:p w14:paraId="7DE362EA" w14:textId="77777777" w:rsidR="00D4589E" w:rsidRDefault="00D4589E" w:rsidP="00D4589E">
      <w:pPr>
        <w:rPr>
          <w:rFonts w:ascii="Cambria" w:hAnsi="Cambria" w:cs="Arial"/>
          <w:color w:val="222222"/>
        </w:rPr>
      </w:pPr>
      <w:r w:rsidRPr="00D4589E">
        <w:rPr>
          <w:rFonts w:ascii="Cambria" w:hAnsi="Cambria" w:cs="Arial"/>
          <w:b/>
          <w:i/>
          <w:color w:val="222222"/>
        </w:rPr>
        <w:t>Minimum educational qualifications</w:t>
      </w:r>
      <w:r>
        <w:rPr>
          <w:rFonts w:ascii="Cambria" w:hAnsi="Cambria" w:cs="Arial"/>
          <w:color w:val="222222"/>
        </w:rPr>
        <w:t xml:space="preserve"> – The minimum educational qualification for a term-by-term adjunct typically is a Master’s degree in the discipline in which the adjunct will be teaching. If a potential adjunct has a Bachelor’s plus significant professional experience in place of a Master’s degree, then you can request an exception from the Provost. This should be requested on a course-by-course and adjunct-by-adjunct basis (i.e., if an adjunct is approved for one course, please don’t assume they would be approved to teach another course at SOU). Please do not offer a position to someone without a Bachelor’s degree or someone who doesn’t have significant experience beyond a Bachelor’s.</w:t>
      </w:r>
    </w:p>
    <w:p w14:paraId="21CD4CD3" w14:textId="77777777" w:rsidR="00D4589E" w:rsidRDefault="00D4589E" w:rsidP="00D4589E">
      <w:pPr>
        <w:rPr>
          <w:rFonts w:ascii="Cambria" w:hAnsi="Cambria" w:cs="Arial"/>
          <w:i/>
          <w:color w:val="222222"/>
        </w:rPr>
      </w:pPr>
    </w:p>
    <w:p w14:paraId="1756963C" w14:textId="77777777" w:rsidR="00D4589E" w:rsidRDefault="00D4589E" w:rsidP="00D4589E">
      <w:pPr>
        <w:rPr>
          <w:rFonts w:ascii="Cambria" w:hAnsi="Cambria" w:cs="Arial"/>
          <w:color w:val="222222"/>
        </w:rPr>
      </w:pPr>
      <w:r w:rsidRPr="00D4589E">
        <w:rPr>
          <w:rFonts w:ascii="Cambria" w:hAnsi="Cambria" w:cs="Arial"/>
          <w:b/>
          <w:i/>
          <w:color w:val="222222"/>
        </w:rPr>
        <w:t>Benefits</w:t>
      </w:r>
      <w:r>
        <w:rPr>
          <w:rFonts w:ascii="Cambria" w:hAnsi="Cambria" w:cs="Arial"/>
          <w:color w:val="222222"/>
        </w:rPr>
        <w:t xml:space="preserve"> – Adjuncts teaching 8 ELU or more per term qualify for health benefits. If an adjunct’s teaching plus work on an Irregular Employment Agreement (IEA) equals more than halftime, then they also qualify for health benefits. For faculty, health benefits are all-or-none (rather than pro-rated for FTE); therefore, each faculty at or over halftime costs significantly more. In one recent instance, a program will be paying a txt $4,800 to teach 2 courses (8 ELU) plus an additional $5,000+ in benefits costs for the term.</w:t>
      </w:r>
    </w:p>
    <w:p w14:paraId="5C08F731" w14:textId="77777777" w:rsidR="00D4589E" w:rsidRDefault="00D4589E" w:rsidP="00D4589E">
      <w:pPr>
        <w:rPr>
          <w:rFonts w:ascii="Cambria" w:hAnsi="Cambria" w:cs="Arial"/>
          <w:i/>
          <w:color w:val="222222"/>
        </w:rPr>
      </w:pPr>
    </w:p>
    <w:p w14:paraId="6FCE2C93" w14:textId="77777777" w:rsidR="00D4589E" w:rsidRDefault="00D4589E" w:rsidP="00D4589E">
      <w:pPr>
        <w:rPr>
          <w:rFonts w:ascii="Cambria" w:hAnsi="Cambria" w:cs="Arial"/>
          <w:color w:val="222222"/>
        </w:rPr>
      </w:pPr>
      <w:proofErr w:type="spellStart"/>
      <w:r w:rsidRPr="00D4589E">
        <w:rPr>
          <w:rFonts w:ascii="Cambria" w:hAnsi="Cambria" w:cs="Arial"/>
          <w:b/>
          <w:i/>
          <w:color w:val="222222"/>
        </w:rPr>
        <w:t>TxT</w:t>
      </w:r>
      <w:proofErr w:type="spellEnd"/>
      <w:r w:rsidRPr="00D4589E">
        <w:rPr>
          <w:rFonts w:ascii="Cambria" w:hAnsi="Cambria" w:cs="Arial"/>
          <w:b/>
          <w:i/>
          <w:color w:val="222222"/>
        </w:rPr>
        <w:t xml:space="preserve"> pay rates</w:t>
      </w:r>
      <w:r>
        <w:rPr>
          <w:rFonts w:ascii="Cambria" w:hAnsi="Cambria" w:cs="Arial"/>
          <w:color w:val="222222"/>
        </w:rPr>
        <w:t xml:space="preserve"> – </w:t>
      </w:r>
    </w:p>
    <w:p w14:paraId="5F000A03" w14:textId="77777777" w:rsidR="00D4589E" w:rsidRDefault="00D4589E" w:rsidP="00D4589E">
      <w:pPr>
        <w:rPr>
          <w:rFonts w:ascii="Cambria" w:hAnsi="Cambria" w:cs="Arial"/>
          <w:color w:val="222222"/>
        </w:rPr>
      </w:pPr>
    </w:p>
    <w:tbl>
      <w:tblPr>
        <w:tblStyle w:val="TableGrid"/>
        <w:tblW w:w="0" w:type="auto"/>
        <w:tblLook w:val="04A0" w:firstRow="1" w:lastRow="0" w:firstColumn="1" w:lastColumn="0" w:noHBand="0" w:noVBand="1"/>
      </w:tblPr>
      <w:tblGrid>
        <w:gridCol w:w="4675"/>
        <w:gridCol w:w="4675"/>
      </w:tblGrid>
      <w:tr w:rsidR="00D4589E" w14:paraId="621F5068" w14:textId="77777777" w:rsidTr="00846AB5">
        <w:tc>
          <w:tcPr>
            <w:tcW w:w="4675" w:type="dxa"/>
          </w:tcPr>
          <w:p w14:paraId="5390E6C2" w14:textId="77777777" w:rsidR="00D4589E" w:rsidRDefault="00D4589E" w:rsidP="00846AB5">
            <w:pPr>
              <w:rPr>
                <w:rFonts w:ascii="Cambria" w:hAnsi="Cambria" w:cs="Arial"/>
                <w:color w:val="222222"/>
              </w:rPr>
            </w:pPr>
          </w:p>
        </w:tc>
        <w:tc>
          <w:tcPr>
            <w:tcW w:w="4675" w:type="dxa"/>
          </w:tcPr>
          <w:p w14:paraId="78F174EB" w14:textId="77777777" w:rsidR="00D4589E" w:rsidRDefault="00D4589E" w:rsidP="00846AB5">
            <w:pPr>
              <w:rPr>
                <w:rFonts w:ascii="Cambria" w:hAnsi="Cambria" w:cs="Arial"/>
                <w:color w:val="222222"/>
              </w:rPr>
            </w:pPr>
          </w:p>
        </w:tc>
      </w:tr>
      <w:tr w:rsidR="00D4589E" w14:paraId="0FA0030B" w14:textId="77777777" w:rsidTr="00846AB5">
        <w:tc>
          <w:tcPr>
            <w:tcW w:w="4675" w:type="dxa"/>
          </w:tcPr>
          <w:p w14:paraId="665C9B7E" w14:textId="77777777" w:rsidR="00D4589E" w:rsidRDefault="00D4589E" w:rsidP="00846AB5">
            <w:pPr>
              <w:rPr>
                <w:rFonts w:ascii="Cambria" w:hAnsi="Cambria" w:cs="Arial"/>
                <w:color w:val="222222"/>
              </w:rPr>
            </w:pPr>
            <w:r w:rsidRPr="001247F1">
              <w:rPr>
                <w:rFonts w:ascii="Cambria" w:hAnsi="Cambria" w:cs="Arial"/>
                <w:color w:val="222222"/>
              </w:rPr>
              <w:t>100-, 200-, 300- and 400-level courses</w:t>
            </w:r>
            <w:r>
              <w:rPr>
                <w:rFonts w:ascii="Cambria" w:hAnsi="Cambria" w:cs="Arial"/>
                <w:color w:val="222222"/>
              </w:rPr>
              <w:t>; adjunct with no terminal degree in discipline in which adjunct will be teaching</w:t>
            </w:r>
          </w:p>
        </w:tc>
        <w:tc>
          <w:tcPr>
            <w:tcW w:w="4675" w:type="dxa"/>
          </w:tcPr>
          <w:p w14:paraId="09C61854" w14:textId="0003E04F" w:rsidR="00D4589E" w:rsidRDefault="00D4589E" w:rsidP="00572781">
            <w:pPr>
              <w:rPr>
                <w:rFonts w:ascii="Cambria" w:hAnsi="Cambria" w:cs="Arial"/>
                <w:color w:val="222222"/>
              </w:rPr>
            </w:pPr>
            <w:r w:rsidRPr="001247F1">
              <w:rPr>
                <w:rFonts w:ascii="Cambria" w:hAnsi="Cambria" w:cs="Arial"/>
                <w:color w:val="222222"/>
              </w:rPr>
              <w:t>$5</w:t>
            </w:r>
            <w:r w:rsidR="00572781">
              <w:rPr>
                <w:rFonts w:ascii="Cambria" w:hAnsi="Cambria" w:cs="Arial"/>
                <w:color w:val="222222"/>
              </w:rPr>
              <w:t>75</w:t>
            </w:r>
            <w:r w:rsidRPr="001247F1">
              <w:rPr>
                <w:rFonts w:ascii="Cambria" w:hAnsi="Cambria" w:cs="Arial"/>
                <w:color w:val="222222"/>
              </w:rPr>
              <w:t>/ELU</w:t>
            </w:r>
          </w:p>
        </w:tc>
      </w:tr>
      <w:tr w:rsidR="00D4589E" w14:paraId="60621866" w14:textId="77777777" w:rsidTr="00846AB5">
        <w:tc>
          <w:tcPr>
            <w:tcW w:w="4675" w:type="dxa"/>
          </w:tcPr>
          <w:p w14:paraId="08A17D23" w14:textId="77777777" w:rsidR="00D4589E" w:rsidRDefault="00D4589E" w:rsidP="00846AB5">
            <w:pPr>
              <w:rPr>
                <w:rFonts w:ascii="Cambria" w:hAnsi="Cambria" w:cs="Arial"/>
                <w:color w:val="222222"/>
              </w:rPr>
            </w:pPr>
            <w:r w:rsidRPr="001247F1">
              <w:rPr>
                <w:rFonts w:ascii="Cambria" w:hAnsi="Cambria" w:cs="Arial"/>
                <w:color w:val="222222"/>
              </w:rPr>
              <w:t>100-, 200-, 300- and 400-level courses</w:t>
            </w:r>
            <w:r>
              <w:rPr>
                <w:rFonts w:ascii="Cambria" w:hAnsi="Cambria" w:cs="Arial"/>
                <w:color w:val="222222"/>
              </w:rPr>
              <w:t>; adjunct terminally prepared in discipline in which adjunct will be teaching</w:t>
            </w:r>
          </w:p>
        </w:tc>
        <w:tc>
          <w:tcPr>
            <w:tcW w:w="4675" w:type="dxa"/>
          </w:tcPr>
          <w:p w14:paraId="364A6DC6" w14:textId="55787479" w:rsidR="00D4589E" w:rsidRDefault="00D4589E" w:rsidP="00572781">
            <w:pPr>
              <w:rPr>
                <w:rFonts w:ascii="Cambria" w:hAnsi="Cambria" w:cs="Arial"/>
                <w:color w:val="222222"/>
              </w:rPr>
            </w:pPr>
            <w:r w:rsidRPr="001247F1">
              <w:rPr>
                <w:rFonts w:ascii="Cambria" w:hAnsi="Cambria" w:cs="Arial"/>
                <w:color w:val="222222"/>
              </w:rPr>
              <w:t>$6</w:t>
            </w:r>
            <w:r w:rsidR="00572781">
              <w:rPr>
                <w:rFonts w:ascii="Cambria" w:hAnsi="Cambria" w:cs="Arial"/>
                <w:color w:val="222222"/>
              </w:rPr>
              <w:t>75</w:t>
            </w:r>
            <w:r w:rsidRPr="001247F1">
              <w:rPr>
                <w:rFonts w:ascii="Cambria" w:hAnsi="Cambria" w:cs="Arial"/>
                <w:color w:val="222222"/>
              </w:rPr>
              <w:t>/ELU</w:t>
            </w:r>
          </w:p>
        </w:tc>
      </w:tr>
      <w:tr w:rsidR="00D4589E" w14:paraId="602A1C36" w14:textId="77777777" w:rsidTr="00846AB5">
        <w:tc>
          <w:tcPr>
            <w:tcW w:w="4675" w:type="dxa"/>
          </w:tcPr>
          <w:p w14:paraId="2E4EE83B" w14:textId="77777777" w:rsidR="00D4589E" w:rsidRDefault="00D4589E" w:rsidP="00846AB5">
            <w:pPr>
              <w:rPr>
                <w:rFonts w:ascii="Cambria" w:hAnsi="Cambria" w:cs="Arial"/>
                <w:color w:val="222222"/>
              </w:rPr>
            </w:pPr>
            <w:r w:rsidRPr="001247F1">
              <w:rPr>
                <w:rFonts w:ascii="Cambria" w:hAnsi="Cambria" w:cs="Arial"/>
                <w:color w:val="222222"/>
              </w:rPr>
              <w:t>300- and 400-level courses</w:t>
            </w:r>
            <w:r>
              <w:rPr>
                <w:rFonts w:ascii="Cambria" w:hAnsi="Cambria" w:cs="Arial"/>
                <w:color w:val="222222"/>
              </w:rPr>
              <w:t xml:space="preserve"> in hard-to-hire area (e.g., highly technical)</w:t>
            </w:r>
          </w:p>
        </w:tc>
        <w:tc>
          <w:tcPr>
            <w:tcW w:w="4675" w:type="dxa"/>
          </w:tcPr>
          <w:p w14:paraId="242FFDD8" w14:textId="77777777" w:rsidR="00D4589E" w:rsidRDefault="00D4589E" w:rsidP="00846AB5">
            <w:pPr>
              <w:rPr>
                <w:rFonts w:ascii="Cambria" w:hAnsi="Cambria" w:cs="Arial"/>
                <w:color w:val="222222"/>
              </w:rPr>
            </w:pPr>
            <w:r>
              <w:rPr>
                <w:rFonts w:ascii="Cambria" w:hAnsi="Cambria" w:cs="Arial"/>
                <w:color w:val="222222"/>
              </w:rPr>
              <w:t xml:space="preserve">$700/ELU* - must be pre-approved by the Provost </w:t>
            </w:r>
            <w:r w:rsidRPr="00EF16E8">
              <w:rPr>
                <w:rFonts w:ascii="Cambria" w:hAnsi="Cambria" w:cs="Arial"/>
                <w:i/>
                <w:color w:val="222222"/>
              </w:rPr>
              <w:t>before</w:t>
            </w:r>
            <w:r>
              <w:rPr>
                <w:rFonts w:ascii="Cambria" w:hAnsi="Cambria" w:cs="Arial"/>
                <w:color w:val="222222"/>
              </w:rPr>
              <w:t xml:space="preserve"> an offer is made</w:t>
            </w:r>
          </w:p>
        </w:tc>
      </w:tr>
      <w:tr w:rsidR="00D4589E" w14:paraId="68DD4C5A" w14:textId="77777777" w:rsidTr="00846AB5">
        <w:tc>
          <w:tcPr>
            <w:tcW w:w="4675" w:type="dxa"/>
          </w:tcPr>
          <w:p w14:paraId="4A892E2A" w14:textId="77777777" w:rsidR="00D4589E" w:rsidRDefault="00D4589E" w:rsidP="00846AB5">
            <w:pPr>
              <w:rPr>
                <w:rFonts w:ascii="Cambria" w:hAnsi="Cambria" w:cs="Arial"/>
                <w:color w:val="222222"/>
              </w:rPr>
            </w:pPr>
            <w:r w:rsidRPr="001247F1">
              <w:rPr>
                <w:rFonts w:ascii="Cambria" w:hAnsi="Cambria" w:cs="Arial"/>
                <w:color w:val="222222"/>
              </w:rPr>
              <w:t>400/500 split level courses</w:t>
            </w:r>
          </w:p>
        </w:tc>
        <w:tc>
          <w:tcPr>
            <w:tcW w:w="4675" w:type="dxa"/>
          </w:tcPr>
          <w:p w14:paraId="0BBCE657" w14:textId="221E2C6C" w:rsidR="00D4589E" w:rsidRDefault="00136506" w:rsidP="00572781">
            <w:pPr>
              <w:rPr>
                <w:rFonts w:ascii="Cambria" w:hAnsi="Cambria" w:cs="Arial"/>
                <w:color w:val="222222"/>
              </w:rPr>
            </w:pPr>
            <w:r>
              <w:rPr>
                <w:rFonts w:ascii="Cambria" w:hAnsi="Cambria" w:cs="Arial"/>
                <w:color w:val="222222"/>
              </w:rPr>
              <w:t>$5</w:t>
            </w:r>
            <w:r w:rsidR="00572781">
              <w:rPr>
                <w:rFonts w:ascii="Cambria" w:hAnsi="Cambria" w:cs="Arial"/>
                <w:color w:val="222222"/>
              </w:rPr>
              <w:t>75</w:t>
            </w:r>
            <w:r w:rsidR="00D4589E">
              <w:rPr>
                <w:rFonts w:ascii="Cambria" w:hAnsi="Cambria" w:cs="Arial"/>
                <w:color w:val="222222"/>
              </w:rPr>
              <w:t>-$700/ELU as above unless graduate enrollment is 7 or greater, then $800-$1000/ELU may be used, as below</w:t>
            </w:r>
          </w:p>
        </w:tc>
      </w:tr>
      <w:tr w:rsidR="00D4589E" w14:paraId="5B886E75" w14:textId="77777777" w:rsidTr="00846AB5">
        <w:tc>
          <w:tcPr>
            <w:tcW w:w="4675" w:type="dxa"/>
          </w:tcPr>
          <w:p w14:paraId="0CC7141B" w14:textId="77777777" w:rsidR="00D4589E" w:rsidRDefault="00D4589E" w:rsidP="00846AB5">
            <w:pPr>
              <w:rPr>
                <w:rFonts w:ascii="Cambria" w:hAnsi="Cambria" w:cs="Arial"/>
                <w:color w:val="222222"/>
              </w:rPr>
            </w:pPr>
            <w:r w:rsidRPr="001247F1">
              <w:rPr>
                <w:rFonts w:ascii="Cambria" w:hAnsi="Cambria" w:cs="Arial"/>
                <w:color w:val="222222"/>
              </w:rPr>
              <w:t>500-level courses</w:t>
            </w:r>
          </w:p>
        </w:tc>
        <w:tc>
          <w:tcPr>
            <w:tcW w:w="4675" w:type="dxa"/>
          </w:tcPr>
          <w:p w14:paraId="4C5B0981" w14:textId="77777777" w:rsidR="00D4589E" w:rsidRDefault="00D4589E" w:rsidP="00846AB5">
            <w:pPr>
              <w:rPr>
                <w:rFonts w:ascii="Cambria" w:hAnsi="Cambria" w:cs="Arial"/>
                <w:color w:val="222222"/>
              </w:rPr>
            </w:pPr>
            <w:r w:rsidRPr="001247F1">
              <w:rPr>
                <w:rFonts w:ascii="Cambria" w:hAnsi="Cambria" w:cs="Arial"/>
                <w:color w:val="222222"/>
              </w:rPr>
              <w:t>$800/ELU-$1,000/ELU</w:t>
            </w:r>
            <w:r>
              <w:rPr>
                <w:rFonts w:ascii="Cambria" w:hAnsi="Cambria" w:cs="Arial"/>
                <w:color w:val="222222"/>
              </w:rPr>
              <w:t xml:space="preserve"> – typically $800/ELU is used unless a hard-to-hire area (e.g., highly technical,  or highly competitive market) </w:t>
            </w:r>
          </w:p>
        </w:tc>
      </w:tr>
    </w:tbl>
    <w:p w14:paraId="1C025B1E" w14:textId="77777777" w:rsidR="00D4589E" w:rsidRPr="007034FE" w:rsidRDefault="00D4589E" w:rsidP="00D4589E">
      <w:pPr>
        <w:rPr>
          <w:rFonts w:ascii="Cambria" w:hAnsi="Cambria"/>
        </w:rPr>
      </w:pPr>
    </w:p>
    <w:p w14:paraId="216E54DC" w14:textId="77777777" w:rsidR="00D4589E" w:rsidRDefault="00D4589E" w:rsidP="00D4589E"/>
    <w:p w14:paraId="6D5BE85F" w14:textId="77777777" w:rsidR="00A6174C" w:rsidRDefault="00A6174C" w:rsidP="00D4589E"/>
    <w:sectPr w:rsidR="00A6174C" w:rsidSect="000F0963">
      <w:footerReference w:type="default" r:id="rId7"/>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81BAC" w14:textId="77777777" w:rsidR="008F68F5" w:rsidRDefault="008F68F5" w:rsidP="00030137">
      <w:r>
        <w:separator/>
      </w:r>
    </w:p>
  </w:endnote>
  <w:endnote w:type="continuationSeparator" w:id="0">
    <w:p w14:paraId="754406DB" w14:textId="77777777" w:rsidR="008F68F5" w:rsidRDefault="008F68F5" w:rsidP="0003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E5FF" w14:textId="091978DD" w:rsidR="00961376" w:rsidRPr="00030137" w:rsidRDefault="008F68F5">
    <w:pPr>
      <w:pStyle w:val="Footer"/>
      <w:rPr>
        <w:rFonts w:asciiTheme="majorHAnsi" w:hAnsiTheme="majorHAnsi"/>
        <w:sz w:val="20"/>
        <w:szCs w:val="20"/>
      </w:rPr>
    </w:pPr>
    <w:r w:rsidRPr="00030137">
      <w:rPr>
        <w:rFonts w:asciiTheme="majorHAnsi" w:hAnsiTheme="majorHAnsi"/>
        <w:sz w:val="20"/>
        <w:szCs w:val="20"/>
      </w:rPr>
      <w:t>Provost</w:t>
    </w:r>
    <w:r w:rsidR="007A6A29">
      <w:rPr>
        <w:rFonts w:asciiTheme="majorHAnsi" w:hAnsiTheme="majorHAnsi"/>
        <w:sz w:val="20"/>
        <w:szCs w:val="20"/>
      </w:rPr>
      <w:t>’s</w:t>
    </w:r>
    <w:r w:rsidRPr="00030137">
      <w:rPr>
        <w:rFonts w:asciiTheme="majorHAnsi" w:hAnsiTheme="majorHAnsi"/>
        <w:sz w:val="20"/>
        <w:szCs w:val="20"/>
      </w:rPr>
      <w:t xml:space="preserve"> Office </w:t>
    </w:r>
    <w:r w:rsidR="00961376">
      <w:rPr>
        <w:rFonts w:asciiTheme="majorHAnsi" w:hAnsiTheme="majorHAnsi"/>
        <w:sz w:val="20"/>
        <w:szCs w:val="20"/>
      </w:rPr>
      <w:t>10/18</w:t>
    </w:r>
  </w:p>
  <w:p w14:paraId="708BFE43" w14:textId="77777777" w:rsidR="008F68F5" w:rsidRDefault="008F6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3674E" w14:textId="77777777" w:rsidR="008F68F5" w:rsidRDefault="008F68F5" w:rsidP="00030137">
      <w:r>
        <w:separator/>
      </w:r>
    </w:p>
  </w:footnote>
  <w:footnote w:type="continuationSeparator" w:id="0">
    <w:p w14:paraId="0F19C7F8" w14:textId="77777777" w:rsidR="008F68F5" w:rsidRDefault="008F68F5" w:rsidP="00030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9B9"/>
    <w:multiLevelType w:val="hybridMultilevel"/>
    <w:tmpl w:val="A6EC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33B6E"/>
    <w:multiLevelType w:val="hybridMultilevel"/>
    <w:tmpl w:val="3AF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4419F"/>
    <w:multiLevelType w:val="hybridMultilevel"/>
    <w:tmpl w:val="4190B9C4"/>
    <w:lvl w:ilvl="0" w:tplc="6FE66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5E1CB9"/>
    <w:multiLevelType w:val="hybridMultilevel"/>
    <w:tmpl w:val="96FCD860"/>
    <w:lvl w:ilvl="0" w:tplc="C07A8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D23029"/>
    <w:multiLevelType w:val="hybridMultilevel"/>
    <w:tmpl w:val="4190B9C4"/>
    <w:lvl w:ilvl="0" w:tplc="6FE66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F57A48"/>
    <w:multiLevelType w:val="hybridMultilevel"/>
    <w:tmpl w:val="15247ED8"/>
    <w:lvl w:ilvl="0" w:tplc="04090013">
      <w:start w:val="1"/>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963419"/>
    <w:multiLevelType w:val="hybridMultilevel"/>
    <w:tmpl w:val="8414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E224C"/>
    <w:multiLevelType w:val="hybridMultilevel"/>
    <w:tmpl w:val="E6F4B1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EB10B3"/>
    <w:multiLevelType w:val="hybridMultilevel"/>
    <w:tmpl w:val="AAFC2406"/>
    <w:lvl w:ilvl="0" w:tplc="20002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6"/>
  </w:num>
  <w:num w:numId="5">
    <w:abstractNumId w:val="8"/>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87"/>
    <w:rsid w:val="00013A01"/>
    <w:rsid w:val="00030137"/>
    <w:rsid w:val="00064A7A"/>
    <w:rsid w:val="00083565"/>
    <w:rsid w:val="000841DF"/>
    <w:rsid w:val="000B30EA"/>
    <w:rsid w:val="000C6638"/>
    <w:rsid w:val="000F0963"/>
    <w:rsid w:val="00117487"/>
    <w:rsid w:val="00136506"/>
    <w:rsid w:val="00160243"/>
    <w:rsid w:val="001A75B6"/>
    <w:rsid w:val="00220D3A"/>
    <w:rsid w:val="0031503C"/>
    <w:rsid w:val="00345C80"/>
    <w:rsid w:val="003712E3"/>
    <w:rsid w:val="003F4928"/>
    <w:rsid w:val="004458A0"/>
    <w:rsid w:val="0046718A"/>
    <w:rsid w:val="004745C8"/>
    <w:rsid w:val="00487AB0"/>
    <w:rsid w:val="004B278B"/>
    <w:rsid w:val="004D5ABA"/>
    <w:rsid w:val="00572781"/>
    <w:rsid w:val="005D36A9"/>
    <w:rsid w:val="00660474"/>
    <w:rsid w:val="00663C59"/>
    <w:rsid w:val="006E4BA8"/>
    <w:rsid w:val="00751C66"/>
    <w:rsid w:val="007A6A29"/>
    <w:rsid w:val="00884C93"/>
    <w:rsid w:val="00890BFA"/>
    <w:rsid w:val="00896347"/>
    <w:rsid w:val="008B06CC"/>
    <w:rsid w:val="008F68F5"/>
    <w:rsid w:val="00940AB9"/>
    <w:rsid w:val="00961376"/>
    <w:rsid w:val="00A06091"/>
    <w:rsid w:val="00A234D6"/>
    <w:rsid w:val="00A25DA2"/>
    <w:rsid w:val="00A6174C"/>
    <w:rsid w:val="00A775B1"/>
    <w:rsid w:val="00B9080B"/>
    <w:rsid w:val="00BE1187"/>
    <w:rsid w:val="00C73DFE"/>
    <w:rsid w:val="00CA223C"/>
    <w:rsid w:val="00CB0D57"/>
    <w:rsid w:val="00CC293E"/>
    <w:rsid w:val="00CF61F0"/>
    <w:rsid w:val="00D03ADA"/>
    <w:rsid w:val="00D4589E"/>
    <w:rsid w:val="00D477EE"/>
    <w:rsid w:val="00D57F67"/>
    <w:rsid w:val="00DA20FD"/>
    <w:rsid w:val="00E644DD"/>
    <w:rsid w:val="00EA62BC"/>
    <w:rsid w:val="00F80042"/>
    <w:rsid w:val="00FC3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5AE2D"/>
  <w15:docId w15:val="{AEE71F8A-F3FF-430C-893B-083B03DE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rsid w:val="00BE1187"/>
    <w:rPr>
      <w:rFonts w:ascii="Shruti" w:hAnsi="Shruti" w:cs="Shruti"/>
      <w:sz w:val="26"/>
      <w:szCs w:val="26"/>
    </w:rPr>
  </w:style>
  <w:style w:type="paragraph" w:styleId="Header">
    <w:name w:val="header"/>
    <w:basedOn w:val="Normal"/>
    <w:link w:val="HeaderChar"/>
    <w:uiPriority w:val="99"/>
    <w:unhideWhenUsed/>
    <w:rsid w:val="00030137"/>
    <w:pPr>
      <w:tabs>
        <w:tab w:val="center" w:pos="4680"/>
        <w:tab w:val="right" w:pos="9360"/>
      </w:tabs>
    </w:pPr>
  </w:style>
  <w:style w:type="character" w:customStyle="1" w:styleId="HeaderChar">
    <w:name w:val="Header Char"/>
    <w:basedOn w:val="DefaultParagraphFont"/>
    <w:link w:val="Header"/>
    <w:uiPriority w:val="99"/>
    <w:rsid w:val="000301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137"/>
    <w:pPr>
      <w:tabs>
        <w:tab w:val="center" w:pos="4680"/>
        <w:tab w:val="right" w:pos="9360"/>
      </w:tabs>
    </w:pPr>
  </w:style>
  <w:style w:type="character" w:customStyle="1" w:styleId="FooterChar">
    <w:name w:val="Footer Char"/>
    <w:basedOn w:val="DefaultParagraphFont"/>
    <w:link w:val="Footer"/>
    <w:uiPriority w:val="99"/>
    <w:rsid w:val="000301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37"/>
    <w:rPr>
      <w:rFonts w:ascii="Tahoma" w:hAnsi="Tahoma" w:cs="Tahoma"/>
      <w:sz w:val="16"/>
      <w:szCs w:val="16"/>
    </w:rPr>
  </w:style>
  <w:style w:type="character" w:customStyle="1" w:styleId="BalloonTextChar">
    <w:name w:val="Balloon Text Char"/>
    <w:basedOn w:val="DefaultParagraphFont"/>
    <w:link w:val="BalloonText"/>
    <w:uiPriority w:val="99"/>
    <w:semiHidden/>
    <w:rsid w:val="000301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3A89"/>
    <w:rPr>
      <w:sz w:val="18"/>
      <w:szCs w:val="18"/>
    </w:rPr>
  </w:style>
  <w:style w:type="paragraph" w:styleId="CommentText">
    <w:name w:val="annotation text"/>
    <w:basedOn w:val="Normal"/>
    <w:link w:val="CommentTextChar"/>
    <w:uiPriority w:val="99"/>
    <w:semiHidden/>
    <w:unhideWhenUsed/>
    <w:rsid w:val="00FC3A89"/>
  </w:style>
  <w:style w:type="character" w:customStyle="1" w:styleId="CommentTextChar">
    <w:name w:val="Comment Text Char"/>
    <w:basedOn w:val="DefaultParagraphFont"/>
    <w:link w:val="CommentText"/>
    <w:uiPriority w:val="99"/>
    <w:semiHidden/>
    <w:rsid w:val="00FC3A8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3A89"/>
    <w:rPr>
      <w:b/>
      <w:bCs/>
      <w:sz w:val="20"/>
      <w:szCs w:val="20"/>
    </w:rPr>
  </w:style>
  <w:style w:type="character" w:customStyle="1" w:styleId="CommentSubjectChar">
    <w:name w:val="Comment Subject Char"/>
    <w:basedOn w:val="CommentTextChar"/>
    <w:link w:val="CommentSubject"/>
    <w:uiPriority w:val="99"/>
    <w:semiHidden/>
    <w:rsid w:val="00FC3A89"/>
    <w:rPr>
      <w:rFonts w:ascii="Times New Roman" w:eastAsia="Times New Roman" w:hAnsi="Times New Roman" w:cs="Times New Roman"/>
      <w:b/>
      <w:bCs/>
      <w:sz w:val="20"/>
      <w:szCs w:val="20"/>
    </w:rPr>
  </w:style>
  <w:style w:type="paragraph" w:styleId="Revision">
    <w:name w:val="Revision"/>
    <w:hidden/>
    <w:uiPriority w:val="99"/>
    <w:semiHidden/>
    <w:rsid w:val="00CC293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3565"/>
    <w:rPr>
      <w:color w:val="0000FF" w:themeColor="hyperlink"/>
      <w:u w:val="single"/>
    </w:rPr>
  </w:style>
  <w:style w:type="table" w:styleId="TableGrid">
    <w:name w:val="Table Grid"/>
    <w:basedOn w:val="TableNormal"/>
    <w:uiPriority w:val="39"/>
    <w:rsid w:val="00D4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Michele Barlow</cp:lastModifiedBy>
  <cp:revision>2</cp:revision>
  <cp:lastPrinted>2014-10-21T00:25:00Z</cp:lastPrinted>
  <dcterms:created xsi:type="dcterms:W3CDTF">2018-10-29T15:30:00Z</dcterms:created>
  <dcterms:modified xsi:type="dcterms:W3CDTF">2018-10-29T15:30:00Z</dcterms:modified>
</cp:coreProperties>
</file>