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52"/>
          <w:szCs w:val="52"/>
          <w:rtl w:val="0"/>
        </w:rPr>
        <w:t xml:space="preserve">Faculty Senate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30"/>
          <w:szCs w:val="30"/>
          <w:rtl w:val="0"/>
        </w:rPr>
        <w:t xml:space="preserve">Monday, April 26,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Zoom Meeting 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Arial" w:cs="Arial" w:eastAsia="Arial" w:hAnsi="Arial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4:00-5:30p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4:00p Approval of Minutes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04/12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4:15p  Advisory Council Report -- Chair-elect Melissa Anderson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4:20p ASSOU President’s Report – ASSOU President Victoria Crai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 EDI </w:t>
      </w:r>
      <w:r w:rsidDel="00000000" w:rsidR="00000000" w:rsidRPr="00000000">
        <w:rPr>
          <w:rFonts w:ascii="Arial" w:cs="Arial" w:eastAsia="Arial" w:hAnsi="Arial"/>
          <w:rtl w:val="0"/>
        </w:rPr>
        <w:t xml:space="preserve">Task Force Report -- Kylan deVries, Sabrina Prudhomme, Jonathan Chavez-Baez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4:40p Graduate Council proposals for MSEd and Educ Leadership (Action) [see Senate 04-12-2021 Folder for materials]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4:50p Curriculum Committee Council proposals for Digital Cinema (Action) [see Senate 04-12-2021 Folder for materials]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5:00p Academic Policy Committee recommendation on P/NP (Discussion; possible waiver of     2 wk rule)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5:20p General Education Task Force -- announcement of possible models, all Senators invited to special task force meeting Friday, April 30, 2 - 4 PM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5:25p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 Announcements/New Business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5:30p  Adjourn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6F4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026F4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u.zoom.us/j/9630428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PQYw5fWqCnqsM0Ef6JTgvaHOg==">AMUW2mWYQzxvIP1OjWOo4tjzqu6YyHgPYzLxfB+R2ap2mTlB4LEixZk51uit268xEglXg0yemitwNMSRvKgFzoHKkezIgGeT9LB/lb5QyqelB54Q3Pruk84=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2021-03-05T22:57:00Z</dcterms:created>
  <dc:creator>Kemble</dc:creator>
</cp:coreProperties>
</file>