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 Faculty Senate Agenda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February 10,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 313, 4:00-5:30p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1/27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IFS Report – Donna Lane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Funding Model Update – Greg Perkinson, Jason Catz, and Britney Sharp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4:40p ASSOU President’s Report – Britney Sharp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Advisory Council Report – Chair-Elect Kemble Yates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New University Studies Courses – Charles Welden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4:55p New Graduate Curriculum: Music Industry Certificate – Terry Longshore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5:05p Continued Discussion of P/NP Policy Proposal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5:20p Governor’s Food Drive – Jill Smedstad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