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December 2,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SU 313,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11/18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Advisory Council Report – Chair-Elect Kemble Yates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ASSOU President’s Report –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Inter-institutional Faculty Senate Report – Donna Lane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Approval of New Graduate Curriculum for Computer Science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Review of New Graduate Curriculum for Math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Review of University Studies Proposals from SOAN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Approval of New Undergraduate Curriculum Proposals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proposed GSWS major and new courses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proposed Transgender Studies certificate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proposed Health Promotion minor and new course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proposed new courses in SOAN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5:15p FPAR Task Force Report Open Discussion: do faculty wish FPARs to be purely self-reflective, or should they serve as a tool to evaluate faculty performance? If evaluative: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feedback be required from chairs?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feedback be required from directors?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there be any consequence for an insufficiently completed FPAR?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