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6884" w14:textId="77777777" w:rsidR="001F3613" w:rsidRPr="00B33839" w:rsidRDefault="001F3613" w:rsidP="001F3613">
      <w:pPr>
        <w:ind w:hanging="360"/>
        <w:jc w:val="center"/>
        <w:rPr>
          <w:rFonts w:asciiTheme="minorHAnsi" w:hAnsiTheme="minorHAnsi" w:cstheme="minorHAnsi"/>
          <w:b/>
          <w:sz w:val="40"/>
          <w:szCs w:val="40"/>
        </w:rPr>
      </w:pPr>
      <w:r w:rsidRPr="00B33839">
        <w:rPr>
          <w:rFonts w:asciiTheme="minorHAnsi" w:hAnsiTheme="minorHAnsi" w:cstheme="minorHAnsi"/>
          <w:b/>
          <w:sz w:val="40"/>
          <w:szCs w:val="40"/>
        </w:rPr>
        <w:t xml:space="preserve">Senate Committee Annual Report </w:t>
      </w:r>
    </w:p>
    <w:p w14:paraId="108875EF" w14:textId="77777777" w:rsidR="001F3613" w:rsidRPr="00B33839" w:rsidRDefault="001F3613" w:rsidP="00D515F3">
      <w:pPr>
        <w:rPr>
          <w:rFonts w:asciiTheme="minorHAnsi" w:hAnsiTheme="minorHAnsi" w:cstheme="minorHAnsi"/>
          <w:b/>
          <w:sz w:val="36"/>
          <w:szCs w:val="36"/>
        </w:rPr>
      </w:pPr>
    </w:p>
    <w:p w14:paraId="5E210D77" w14:textId="77777777" w:rsidR="001F3613" w:rsidRPr="00B33839" w:rsidRDefault="00127950" w:rsidP="001F3613">
      <w:pPr>
        <w:jc w:val="center"/>
        <w:rPr>
          <w:rFonts w:asciiTheme="minorHAnsi" w:hAnsiTheme="minorHAnsi" w:cstheme="minorHAnsi"/>
          <w:b/>
          <w:bCs/>
          <w:sz w:val="28"/>
          <w:szCs w:val="28"/>
        </w:rPr>
      </w:pPr>
      <w:r w:rsidRPr="00B33839">
        <w:rPr>
          <w:rFonts w:asciiTheme="minorHAnsi" w:hAnsiTheme="minorHAnsi" w:cstheme="minorHAnsi"/>
          <w:b/>
          <w:bCs/>
          <w:noProof/>
        </w:rPr>
        <mc:AlternateContent>
          <mc:Choice Requires="wps">
            <w:drawing>
              <wp:anchor distT="0" distB="0" distL="114300" distR="114300" simplePos="0" relativeHeight="251656192" behindDoc="0" locked="0" layoutInCell="1" allowOverlap="1" wp14:anchorId="091E5959" wp14:editId="6C56501F">
                <wp:simplePos x="0" y="0"/>
                <wp:positionH relativeFrom="column">
                  <wp:posOffset>1454785</wp:posOffset>
                </wp:positionH>
                <wp:positionV relativeFrom="paragraph">
                  <wp:posOffset>76200</wp:posOffset>
                </wp:positionV>
                <wp:extent cx="2831465" cy="409575"/>
                <wp:effectExtent l="26035"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409575"/>
                        </a:xfrm>
                        <a:prstGeom prst="rect">
                          <a:avLst/>
                        </a:prstGeom>
                        <a:solidFill>
                          <a:srgbClr val="C0504D"/>
                        </a:solidFill>
                        <a:ln w="38100">
                          <a:solidFill>
                            <a:srgbClr val="F2F2F2"/>
                          </a:solidFill>
                          <a:miter lim="800000"/>
                          <a:headEnd/>
                          <a:tailEnd/>
                        </a:ln>
                        <a:effectLst>
                          <a:outerShdw dist="28398" dir="3806097" algn="ctr" rotWithShape="0">
                            <a:srgbClr val="3F3151">
                              <a:alpha val="50000"/>
                            </a:srgbClr>
                          </a:outerShdw>
                        </a:effectLst>
                      </wps:spPr>
                      <wps:txbx>
                        <w:txbxContent>
                          <w:p w14:paraId="51B38777" w14:textId="7E8C0A15" w:rsidR="001F3613" w:rsidRPr="0089476F" w:rsidRDefault="001A0035" w:rsidP="001F3613">
                            <w:pPr>
                              <w:shd w:val="clear" w:color="auto" w:fill="FFFF00"/>
                            </w:pPr>
                            <w:r>
                              <w:t>Academic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E5959" id="_x0000_t202" coordsize="21600,21600" o:spt="202" path="m,l,21600r21600,l21600,xe">
                <v:stroke joinstyle="miter"/>
                <v:path gradientshapeok="t" o:connecttype="rect"/>
              </v:shapetype>
              <v:shape id="Text Box 2" o:spid="_x0000_s1026" type="#_x0000_t202" style="position:absolute;left:0;text-align:left;margin-left:114.55pt;margin-top:6pt;width:222.9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" fillcolor="#c0504d" strokecolor="#f2f2f2" strokeweight="3pt">
                <v:shadow on="t" color="#3f3151" opacity=".5" offset="1pt"/>
                <v:textbox>
                  <w:txbxContent>
                    <w:p w14:paraId="51B38777" w14:textId="7E8C0A15" w:rsidR="001F3613" w:rsidRPr="0089476F" w:rsidRDefault="001A0035" w:rsidP="001F3613">
                      <w:pPr>
                        <w:shd w:val="clear" w:color="auto" w:fill="FFFF00"/>
                      </w:pPr>
                      <w:r>
                        <w:t>Academic Policies</w:t>
                      </w:r>
                    </w:p>
                  </w:txbxContent>
                </v:textbox>
              </v:shape>
            </w:pict>
          </mc:Fallback>
        </mc:AlternateContent>
      </w:r>
      <w:r w:rsidRPr="00B33839">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464C9638" wp14:editId="032BBDFC">
                <wp:simplePos x="0" y="0"/>
                <wp:positionH relativeFrom="column">
                  <wp:posOffset>4488815</wp:posOffset>
                </wp:positionH>
                <wp:positionV relativeFrom="paragraph">
                  <wp:posOffset>38100</wp:posOffset>
                </wp:positionV>
                <wp:extent cx="821690" cy="447675"/>
                <wp:effectExtent l="12065" t="9525" r="1397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447675"/>
                        </a:xfrm>
                        <a:prstGeom prst="rect">
                          <a:avLst/>
                        </a:prstGeom>
                        <a:solidFill>
                          <a:srgbClr val="FFFFFF"/>
                        </a:solidFill>
                        <a:ln w="9525">
                          <a:solidFill>
                            <a:srgbClr val="000000"/>
                          </a:solidFill>
                          <a:miter lim="800000"/>
                          <a:headEnd/>
                          <a:tailEnd/>
                        </a:ln>
                      </wps:spPr>
                      <wps:txbx>
                        <w:txbxContent>
                          <w:p w14:paraId="70167072" w14:textId="6D421F5C" w:rsidR="001F3613" w:rsidRDefault="001A0035" w:rsidP="001F3613">
                            <w:pPr>
                              <w:shd w:val="clear" w:color="auto" w:fill="FFFF00"/>
                            </w:pPr>
                            <w:r>
                              <w:t>AY15-16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C9638" id="Text Box 4" o:spid="_x0000_s1027" type="#_x0000_t202" style="position:absolute;left:0;text-align:left;margin-left:353.45pt;margin-top:3pt;width:64.7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">
                <v:textbox>
                  <w:txbxContent>
                    <w:p w14:paraId="70167072" w14:textId="6D421F5C" w:rsidR="001F3613" w:rsidRDefault="001A0035" w:rsidP="001F3613">
                      <w:pPr>
                        <w:shd w:val="clear" w:color="auto" w:fill="FFFF00"/>
                      </w:pPr>
                      <w:r>
                        <w:t>AY15-16</w:t>
                      </w:r>
                    </w:p>
                  </w:txbxContent>
                </v:textbox>
              </v:shape>
            </w:pict>
          </mc:Fallback>
        </mc:AlternateContent>
      </w:r>
    </w:p>
    <w:p w14:paraId="350E7E8D" w14:textId="77777777" w:rsidR="001F3613" w:rsidRPr="00B33839" w:rsidRDefault="001F3613" w:rsidP="001F3613">
      <w:pPr>
        <w:rPr>
          <w:rFonts w:asciiTheme="minorHAnsi" w:hAnsiTheme="minorHAnsi" w:cstheme="minorHAnsi"/>
          <w:b/>
          <w:bCs/>
        </w:rPr>
      </w:pPr>
      <w:r w:rsidRPr="00B33839">
        <w:rPr>
          <w:rFonts w:asciiTheme="minorHAnsi" w:hAnsiTheme="minorHAnsi" w:cstheme="minorHAnsi"/>
          <w:b/>
          <w:bCs/>
        </w:rPr>
        <w:t xml:space="preserve">Senate Committee: </w:t>
      </w:r>
      <w:r w:rsidRPr="00B33839">
        <w:rPr>
          <w:rFonts w:asciiTheme="minorHAnsi" w:hAnsiTheme="minorHAnsi" w:cstheme="minorHAnsi"/>
          <w:b/>
          <w:bCs/>
        </w:rPr>
        <w:tab/>
      </w:r>
      <w:r w:rsidRPr="00B33839">
        <w:rPr>
          <w:rFonts w:asciiTheme="minorHAnsi" w:hAnsiTheme="minorHAnsi" w:cstheme="minorHAnsi"/>
          <w:b/>
          <w:bCs/>
        </w:rPr>
        <w:tab/>
      </w:r>
      <w:r w:rsidRPr="00B33839">
        <w:rPr>
          <w:rFonts w:asciiTheme="minorHAnsi" w:hAnsiTheme="minorHAnsi" w:cstheme="minorHAnsi"/>
          <w:b/>
          <w:bCs/>
        </w:rPr>
        <w:tab/>
      </w:r>
      <w:r w:rsidRPr="00B33839">
        <w:rPr>
          <w:rFonts w:asciiTheme="minorHAnsi" w:hAnsiTheme="minorHAnsi" w:cstheme="minorHAnsi"/>
          <w:b/>
          <w:bCs/>
        </w:rPr>
        <w:tab/>
      </w:r>
      <w:r w:rsidRPr="00B33839">
        <w:rPr>
          <w:rFonts w:asciiTheme="minorHAnsi" w:hAnsiTheme="minorHAnsi" w:cstheme="minorHAnsi"/>
          <w:b/>
          <w:bCs/>
        </w:rPr>
        <w:tab/>
        <w:t xml:space="preserve">     </w:t>
      </w:r>
      <w:r w:rsidRPr="00B33839">
        <w:rPr>
          <w:rFonts w:asciiTheme="minorHAnsi" w:hAnsiTheme="minorHAnsi" w:cstheme="minorHAnsi"/>
          <w:b/>
          <w:bCs/>
        </w:rPr>
        <w:tab/>
      </w:r>
    </w:p>
    <w:p w14:paraId="5AEBA434" w14:textId="15582489" w:rsidR="001F3613" w:rsidRPr="00B33839" w:rsidRDefault="001F3613" w:rsidP="001F3613">
      <w:pPr>
        <w:rPr>
          <w:rFonts w:asciiTheme="minorHAnsi" w:hAnsiTheme="minorHAnsi" w:cstheme="minorHAnsi"/>
          <w:b/>
          <w:bCs/>
        </w:rPr>
      </w:pPr>
    </w:p>
    <w:p w14:paraId="1D0750C9" w14:textId="77777777" w:rsidR="001F3613" w:rsidRPr="00B33839" w:rsidRDefault="001F3613" w:rsidP="001F3613">
      <w:pPr>
        <w:rPr>
          <w:rFonts w:asciiTheme="minorHAnsi" w:hAnsiTheme="minorHAnsi" w:cstheme="minorHAnsi"/>
        </w:rPr>
      </w:pPr>
    </w:p>
    <w:p w14:paraId="3CB2E618" w14:textId="77777777" w:rsidR="001F3613" w:rsidRPr="00B33839" w:rsidRDefault="001F3613" w:rsidP="00D515F3">
      <w:pPr>
        <w:ind w:hanging="90"/>
        <w:rPr>
          <w:rFonts w:asciiTheme="minorHAnsi" w:hAnsiTheme="minorHAnsi" w:cstheme="minorHAnsi"/>
          <w:b/>
        </w:rPr>
      </w:pPr>
      <w:r w:rsidRPr="00B33839">
        <w:rPr>
          <w:rFonts w:asciiTheme="minorHAnsi" w:hAnsiTheme="minorHAnsi" w:cstheme="minorHAnsi"/>
          <w:b/>
        </w:rPr>
        <w:t>1. What are the primary duties of this committee?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1F3613" w:rsidRPr="00B33839" w14:paraId="65315E0F" w14:textId="77777777" w:rsidTr="007B4D81">
        <w:tc>
          <w:tcPr>
            <w:tcW w:w="10008" w:type="dxa"/>
          </w:tcPr>
          <w:p w14:paraId="31CB7417" w14:textId="6E83122D" w:rsidR="00D515F3" w:rsidRPr="000A7588" w:rsidRDefault="0089476F" w:rsidP="00D515F3">
            <w:pPr>
              <w:rPr>
                <w:rFonts w:asciiTheme="minorHAnsi" w:hAnsiTheme="minorHAnsi" w:cstheme="minorHAnsi"/>
              </w:rPr>
            </w:pPr>
            <w:r w:rsidRPr="00B33839">
              <w:rPr>
                <w:rFonts w:asciiTheme="minorHAnsi" w:hAnsiTheme="minorHAnsi" w:cstheme="minorHAnsi"/>
              </w:rPr>
              <w:t>The Academic Policies Committee shall recommend policies regarding admission, transfer, general academic regulations and graduation.</w:t>
            </w:r>
          </w:p>
        </w:tc>
      </w:tr>
    </w:tbl>
    <w:p w14:paraId="31F25F22" w14:textId="77777777" w:rsidR="001F3613" w:rsidRPr="00B33839" w:rsidRDefault="001F3613" w:rsidP="001F3613">
      <w:pPr>
        <w:rPr>
          <w:rFonts w:asciiTheme="minorHAnsi" w:hAnsiTheme="minorHAnsi" w:cstheme="minorHAnsi"/>
        </w:rPr>
      </w:pPr>
    </w:p>
    <w:p w14:paraId="3A387498" w14:textId="77777777" w:rsidR="001F3613" w:rsidRPr="00B33839" w:rsidRDefault="001F3613" w:rsidP="00D515F3">
      <w:pPr>
        <w:ind w:hanging="90"/>
        <w:rPr>
          <w:rFonts w:asciiTheme="minorHAnsi" w:hAnsiTheme="minorHAnsi" w:cstheme="minorHAnsi"/>
          <w:b/>
        </w:rPr>
      </w:pPr>
      <w:r w:rsidRPr="00B33839">
        <w:rPr>
          <w:rFonts w:asciiTheme="minorHAnsi" w:hAnsiTheme="minorHAnsi" w:cstheme="minorHAnsi"/>
          <w:b/>
        </w:rPr>
        <w:t>2. What did you plan to accomplish this year?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1F3613" w:rsidRPr="00B33839" w14:paraId="2D096E39" w14:textId="77777777" w:rsidTr="00E34670">
        <w:trPr>
          <w:trHeight w:val="872"/>
        </w:trPr>
        <w:tc>
          <w:tcPr>
            <w:tcW w:w="10075" w:type="dxa"/>
          </w:tcPr>
          <w:p w14:paraId="406B4914" w14:textId="77777777" w:rsidR="00E02DE6" w:rsidRDefault="00E02DE6" w:rsidP="00DC1BE2">
            <w:pPr>
              <w:rPr>
                <w:rFonts w:asciiTheme="minorHAnsi" w:hAnsiTheme="minorHAnsi" w:cstheme="minorHAnsi"/>
              </w:rPr>
            </w:pPr>
            <w:r w:rsidRPr="00D25E8C">
              <w:rPr>
                <w:rFonts w:asciiTheme="minorHAnsi" w:hAnsiTheme="minorHAnsi" w:cstheme="minorHAnsi"/>
                <w:b/>
              </w:rPr>
              <w:t>Carried over from AY14-15</w:t>
            </w:r>
            <w:r>
              <w:rPr>
                <w:rFonts w:asciiTheme="minorHAnsi" w:hAnsiTheme="minorHAnsi" w:cstheme="minorHAnsi"/>
              </w:rPr>
              <w:t xml:space="preserve">:   </w:t>
            </w:r>
          </w:p>
          <w:p w14:paraId="591532BA" w14:textId="7F050A79" w:rsidR="00D515F3"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rPr>
              <w:t xml:space="preserve">Get </w:t>
            </w:r>
            <w:r w:rsidRPr="00D25E8C">
              <w:rPr>
                <w:rFonts w:asciiTheme="minorHAnsi" w:hAnsiTheme="minorHAnsi" w:cstheme="minorHAnsi"/>
                <w:sz w:val="20"/>
                <w:szCs w:val="20"/>
              </w:rPr>
              <w:t>feedback on how credit for prior learning/prior life experience is working in the Innovation &amp; Leadership program and how SOU will be expected</w:t>
            </w:r>
            <w:r w:rsidR="00D25E8C">
              <w:rPr>
                <w:rFonts w:asciiTheme="minorHAnsi" w:hAnsiTheme="minorHAnsi" w:cstheme="minorHAnsi"/>
                <w:sz w:val="20"/>
                <w:szCs w:val="20"/>
              </w:rPr>
              <w:t xml:space="preserve"> </w:t>
            </w:r>
            <w:r w:rsidRPr="00D25E8C">
              <w:rPr>
                <w:rFonts w:asciiTheme="minorHAnsi" w:hAnsiTheme="minorHAnsi" w:cstheme="minorHAnsi"/>
                <w:sz w:val="20"/>
                <w:szCs w:val="20"/>
              </w:rPr>
              <w:t xml:space="preserve">to expand that option into other programs; </w:t>
            </w:r>
          </w:p>
          <w:p w14:paraId="4C248B0C"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Consider changes to the use of pre-major codes</w:t>
            </w:r>
          </w:p>
          <w:p w14:paraId="7EC63C9C"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Changing grade option for practicum from P/NP only to instructor/program option</w:t>
            </w:r>
          </w:p>
          <w:p w14:paraId="33F6CC4A"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Aligning definition of academic progress with financial aid rules (waiting on having new fin aid director in place)</w:t>
            </w:r>
          </w:p>
          <w:p w14:paraId="7ACB17D8"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 xml:space="preserve">Monitor new “Bridge” program, impacts on priority </w:t>
            </w:r>
            <w:proofErr w:type="spellStart"/>
            <w:r w:rsidRPr="00D25E8C">
              <w:rPr>
                <w:rFonts w:asciiTheme="minorHAnsi" w:hAnsiTheme="minorHAnsi" w:cstheme="minorHAnsi"/>
                <w:sz w:val="20"/>
                <w:szCs w:val="20"/>
              </w:rPr>
              <w:t>reg</w:t>
            </w:r>
            <w:proofErr w:type="spellEnd"/>
          </w:p>
          <w:p w14:paraId="32DBA8C5"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Review various academic programs/departments rules on allowing major/minor “double-dipping”</w:t>
            </w:r>
          </w:p>
          <w:p w14:paraId="6552D3C9" w14:textId="77777777" w:rsidR="00E02DE6" w:rsidRPr="00D25E8C" w:rsidRDefault="00E02DE6" w:rsidP="00D25E8C">
            <w:pPr>
              <w:pStyle w:val="ListParagraph"/>
              <w:numPr>
                <w:ilvl w:val="0"/>
                <w:numId w:val="4"/>
              </w:numPr>
              <w:spacing w:line="240" w:lineRule="auto"/>
              <w:ind w:left="576" w:hanging="288"/>
              <w:rPr>
                <w:rFonts w:asciiTheme="minorHAnsi" w:hAnsiTheme="minorHAnsi" w:cstheme="minorHAnsi"/>
                <w:sz w:val="20"/>
                <w:szCs w:val="20"/>
              </w:rPr>
            </w:pPr>
            <w:r w:rsidRPr="00D25E8C">
              <w:rPr>
                <w:rFonts w:asciiTheme="minorHAnsi" w:hAnsiTheme="minorHAnsi" w:cstheme="minorHAnsi"/>
                <w:sz w:val="20"/>
                <w:szCs w:val="20"/>
              </w:rPr>
              <w:t xml:space="preserve">Craft consistent rules on </w:t>
            </w:r>
            <w:r w:rsidR="00D25E8C" w:rsidRPr="00D25E8C">
              <w:rPr>
                <w:rFonts w:asciiTheme="minorHAnsi" w:hAnsiTheme="minorHAnsi" w:cstheme="minorHAnsi"/>
                <w:sz w:val="20"/>
                <w:szCs w:val="20"/>
              </w:rPr>
              <w:t>maximum number of graduate credit hours (summer session issue)</w:t>
            </w:r>
          </w:p>
          <w:p w14:paraId="22DDAB82" w14:textId="77F06DA9" w:rsidR="00D25E8C" w:rsidRPr="00D25E8C" w:rsidRDefault="00D25E8C" w:rsidP="00D25E8C">
            <w:pPr>
              <w:pStyle w:val="ListParagraph"/>
              <w:numPr>
                <w:ilvl w:val="0"/>
                <w:numId w:val="4"/>
              </w:numPr>
              <w:spacing w:line="240" w:lineRule="auto"/>
              <w:ind w:left="576" w:hanging="288"/>
              <w:rPr>
                <w:rFonts w:asciiTheme="minorHAnsi" w:hAnsiTheme="minorHAnsi" w:cstheme="minorHAnsi"/>
              </w:rPr>
            </w:pPr>
            <w:r w:rsidRPr="00D25E8C">
              <w:rPr>
                <w:rFonts w:asciiTheme="minorHAnsi" w:hAnsiTheme="minorHAnsi" w:cstheme="minorHAnsi"/>
                <w:sz w:val="20"/>
                <w:szCs w:val="20"/>
              </w:rPr>
              <w:t>Begin discussion</w:t>
            </w:r>
            <w:r w:rsidRPr="00D25E8C">
              <w:rPr>
                <w:rFonts w:asciiTheme="minorHAnsi" w:hAnsiTheme="minorHAnsi" w:cstheme="minorHAnsi"/>
              </w:rPr>
              <w:t xml:space="preserve"> of review of BA/BS requirements (provost task force perhaps?)</w:t>
            </w:r>
          </w:p>
        </w:tc>
      </w:tr>
    </w:tbl>
    <w:p w14:paraId="5DD64BEF" w14:textId="77777777" w:rsidR="001F3613" w:rsidRPr="00B33839" w:rsidRDefault="001F3613" w:rsidP="001F3613">
      <w:pPr>
        <w:rPr>
          <w:rFonts w:asciiTheme="minorHAnsi" w:hAnsiTheme="minorHAnsi" w:cstheme="minorHAnsi"/>
          <w:b/>
        </w:rPr>
      </w:pPr>
    </w:p>
    <w:p w14:paraId="012BF7C1" w14:textId="77777777" w:rsidR="001F3613" w:rsidRPr="00B33839" w:rsidRDefault="001F3613" w:rsidP="001F3613">
      <w:pPr>
        <w:rPr>
          <w:rFonts w:asciiTheme="minorHAnsi" w:hAnsiTheme="minorHAnsi" w:cstheme="minorHAnsi"/>
          <w:b/>
        </w:rPr>
      </w:pPr>
    </w:p>
    <w:p w14:paraId="0ECC581F" w14:textId="77777777" w:rsidR="001F3613" w:rsidRPr="00B33839" w:rsidRDefault="001F3613" w:rsidP="00D515F3">
      <w:pPr>
        <w:ind w:hanging="90"/>
        <w:rPr>
          <w:rFonts w:asciiTheme="minorHAnsi" w:hAnsiTheme="minorHAnsi" w:cstheme="minorHAnsi"/>
          <w:b/>
        </w:rPr>
      </w:pPr>
      <w:r w:rsidRPr="00B33839">
        <w:rPr>
          <w:rFonts w:asciiTheme="minorHAnsi" w:hAnsiTheme="minorHAnsi" w:cstheme="minorHAnsi"/>
          <w:b/>
        </w:rPr>
        <w:t xml:space="preserve">3. What did </w:t>
      </w:r>
      <w:r w:rsidR="00D515F3" w:rsidRPr="00B33839">
        <w:rPr>
          <w:rFonts w:asciiTheme="minorHAnsi" w:hAnsiTheme="minorHAnsi" w:cstheme="minorHAnsi"/>
          <w:b/>
        </w:rPr>
        <w:t>the committee</w:t>
      </w:r>
      <w:r w:rsidRPr="00B33839">
        <w:rPr>
          <w:rFonts w:asciiTheme="minorHAnsi" w:hAnsiTheme="minorHAnsi" w:cstheme="minorHAnsi"/>
          <w:b/>
        </w:rPr>
        <w:t xml:space="preserve"> accomplish during this </w:t>
      </w:r>
      <w:r w:rsidR="00D515F3" w:rsidRPr="00B33839">
        <w:rPr>
          <w:rFonts w:asciiTheme="minorHAnsi" w:hAnsiTheme="minorHAnsi" w:cstheme="minorHAnsi"/>
          <w:b/>
        </w:rPr>
        <w:t xml:space="preserve">academic </w:t>
      </w:r>
      <w:r w:rsidRPr="00B33839">
        <w:rPr>
          <w:rFonts w:asciiTheme="minorHAnsi" w:hAnsiTheme="minorHAnsi" w:cstheme="minorHAnsi"/>
          <w:b/>
        </w:rPr>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3613" w:rsidRPr="00B33839" w14:paraId="78785014" w14:textId="77777777" w:rsidTr="007B4D81">
        <w:trPr>
          <w:trHeight w:val="1440"/>
        </w:trPr>
        <w:tc>
          <w:tcPr>
            <w:tcW w:w="10278" w:type="dxa"/>
          </w:tcPr>
          <w:p w14:paraId="28E74184" w14:textId="64DDFFC2" w:rsidR="000115E2" w:rsidRDefault="000115E2" w:rsidP="00B33839">
            <w:pPr>
              <w:rPr>
                <w:rFonts w:asciiTheme="minorHAnsi" w:hAnsiTheme="minorHAnsi" w:cstheme="minorHAnsi"/>
              </w:rPr>
            </w:pPr>
            <w:r>
              <w:rPr>
                <w:rFonts w:asciiTheme="minorHAnsi" w:hAnsiTheme="minorHAnsi" w:cstheme="minorHAnsi"/>
              </w:rPr>
              <w:t>The policy changes below were approved at Faculty Senate</w:t>
            </w:r>
            <w:r w:rsidR="00D9447F">
              <w:rPr>
                <w:rFonts w:asciiTheme="minorHAnsi" w:hAnsiTheme="minorHAnsi" w:cstheme="minorHAnsi"/>
              </w:rPr>
              <w:t xml:space="preserve"> meeting</w:t>
            </w:r>
            <w:r>
              <w:rPr>
                <w:rFonts w:asciiTheme="minorHAnsi" w:hAnsiTheme="minorHAnsi" w:cstheme="minorHAnsi"/>
              </w:rPr>
              <w:t>, May</w:t>
            </w:r>
            <w:r w:rsidR="00FD4D2C">
              <w:rPr>
                <w:rFonts w:asciiTheme="minorHAnsi" w:hAnsiTheme="minorHAnsi" w:cstheme="minorHAnsi"/>
              </w:rPr>
              <w:t xml:space="preserve"> 2</w:t>
            </w:r>
            <w:r>
              <w:rPr>
                <w:rFonts w:asciiTheme="minorHAnsi" w:hAnsiTheme="minorHAnsi" w:cstheme="minorHAnsi"/>
              </w:rPr>
              <w:t>, 2016:</w:t>
            </w:r>
          </w:p>
          <w:p w14:paraId="13D085E1" w14:textId="77777777" w:rsidR="000115E2" w:rsidRDefault="000115E2" w:rsidP="00B33839">
            <w:pPr>
              <w:rPr>
                <w:rFonts w:asciiTheme="minorHAnsi" w:hAnsiTheme="minorHAnsi" w:cstheme="minorHAnsi"/>
              </w:rPr>
            </w:pPr>
          </w:p>
          <w:p w14:paraId="3C5A39F7" w14:textId="77777777" w:rsidR="00DC1BE2" w:rsidRDefault="0094668B" w:rsidP="00B33839">
            <w:pPr>
              <w:rPr>
                <w:rFonts w:asciiTheme="minorHAnsi" w:hAnsiTheme="minorHAnsi" w:cstheme="minorHAnsi"/>
              </w:rPr>
            </w:pPr>
            <w:r w:rsidRPr="006B56A3">
              <w:rPr>
                <w:rFonts w:asciiTheme="minorHAnsi" w:hAnsiTheme="minorHAnsi" w:cstheme="minorHAnsi"/>
                <w:b/>
              </w:rPr>
              <w:t>Cross listing &amp; cross-refere</w:t>
            </w:r>
            <w:r w:rsidR="00EC4623" w:rsidRPr="006B56A3">
              <w:rPr>
                <w:rFonts w:asciiTheme="minorHAnsi" w:hAnsiTheme="minorHAnsi" w:cstheme="minorHAnsi"/>
                <w:b/>
              </w:rPr>
              <w:t>nced course</w:t>
            </w:r>
            <w:r w:rsidR="00EC4623">
              <w:rPr>
                <w:rFonts w:asciiTheme="minorHAnsi" w:hAnsiTheme="minorHAnsi" w:cstheme="minorHAnsi"/>
              </w:rPr>
              <w:t xml:space="preserve"> policy clarification was </w:t>
            </w:r>
            <w:r w:rsidR="000115E2">
              <w:rPr>
                <w:rFonts w:asciiTheme="minorHAnsi" w:hAnsiTheme="minorHAnsi" w:cstheme="minorHAnsi"/>
              </w:rPr>
              <w:t>put on our agenda by Division Directors and Program Chair</w:t>
            </w:r>
            <w:r w:rsidR="00EC4623">
              <w:rPr>
                <w:rFonts w:asciiTheme="minorHAnsi" w:hAnsiTheme="minorHAnsi" w:cstheme="minorHAnsi"/>
              </w:rPr>
              <w:t>s in November 2015</w:t>
            </w:r>
            <w:r w:rsidR="000115E2">
              <w:rPr>
                <w:rFonts w:asciiTheme="minorHAnsi" w:hAnsiTheme="minorHAnsi" w:cstheme="minorHAnsi"/>
              </w:rPr>
              <w:t xml:space="preserve">.  </w:t>
            </w:r>
            <w:r w:rsidR="00EC4623">
              <w:rPr>
                <w:rFonts w:asciiTheme="minorHAnsi" w:hAnsiTheme="minorHAnsi" w:cstheme="minorHAnsi"/>
              </w:rPr>
              <w:t>After much discussion and input from various programs, w</w:t>
            </w:r>
            <w:r w:rsidR="000115E2">
              <w:rPr>
                <w:rFonts w:asciiTheme="minorHAnsi" w:hAnsiTheme="minorHAnsi" w:cstheme="minorHAnsi"/>
              </w:rPr>
              <w:t xml:space="preserve">e successfully clarified definitions of cross-listing &amp; cross-referencing and created a process that offered program flexibility/discretion along with oversight by the Curriculum Committee.  </w:t>
            </w:r>
          </w:p>
          <w:p w14:paraId="006644A1" w14:textId="77777777" w:rsidR="00EC4623" w:rsidRDefault="00EC4623" w:rsidP="00B33839">
            <w:pPr>
              <w:rPr>
                <w:rFonts w:asciiTheme="minorHAnsi" w:hAnsiTheme="minorHAnsi" w:cstheme="minorHAnsi"/>
              </w:rPr>
            </w:pPr>
          </w:p>
          <w:p w14:paraId="1FE7FED3" w14:textId="77777777" w:rsidR="00EC4623" w:rsidRDefault="00EC4623" w:rsidP="00B33839">
            <w:pPr>
              <w:rPr>
                <w:rFonts w:asciiTheme="minorHAnsi" w:hAnsiTheme="minorHAnsi" w:cstheme="minorHAnsi"/>
              </w:rPr>
            </w:pPr>
            <w:r w:rsidRPr="006B56A3">
              <w:rPr>
                <w:rFonts w:asciiTheme="minorHAnsi" w:hAnsiTheme="minorHAnsi" w:cstheme="minorHAnsi"/>
                <w:b/>
              </w:rPr>
              <w:t>Graduate credit hour maximums</w:t>
            </w:r>
            <w:r>
              <w:rPr>
                <w:rFonts w:asciiTheme="minorHAnsi" w:hAnsiTheme="minorHAnsi" w:cstheme="minorHAnsi"/>
              </w:rPr>
              <w:t>:  Programs have discretion and at the recommendation of Graduate Council, there is no one-size-fits-all limit.  Programs/advisors have responsibility to counsel students appropriately effective in AY16-17.   During fall 2017, Grad Council should review how the new policy worked in AY16-17.</w:t>
            </w:r>
          </w:p>
          <w:p w14:paraId="6542A050" w14:textId="77777777" w:rsidR="00A43B3E" w:rsidRDefault="00A43B3E" w:rsidP="00B33839">
            <w:pPr>
              <w:rPr>
                <w:rFonts w:asciiTheme="minorHAnsi" w:hAnsiTheme="minorHAnsi" w:cstheme="minorHAnsi"/>
              </w:rPr>
            </w:pPr>
          </w:p>
          <w:p w14:paraId="0911C731" w14:textId="77777777" w:rsidR="00A43B3E" w:rsidRDefault="00A43B3E" w:rsidP="00B33839">
            <w:pPr>
              <w:rPr>
                <w:rFonts w:asciiTheme="minorHAnsi" w:hAnsiTheme="minorHAnsi" w:cstheme="minorHAnsi"/>
              </w:rPr>
            </w:pPr>
            <w:r w:rsidRPr="006B56A3">
              <w:rPr>
                <w:rFonts w:asciiTheme="minorHAnsi" w:hAnsiTheme="minorHAnsi" w:cstheme="minorHAnsi"/>
                <w:b/>
              </w:rPr>
              <w:t>Practicum/internship grade option</w:t>
            </w:r>
            <w:r>
              <w:rPr>
                <w:rFonts w:asciiTheme="minorHAnsi" w:hAnsiTheme="minorHAnsi" w:cstheme="minorHAnsi"/>
              </w:rPr>
              <w:t xml:space="preserve">:  Departments/programs will have some discretion over whether students get P/NP or letter grades.  </w:t>
            </w:r>
            <w:proofErr w:type="spellStart"/>
            <w:r>
              <w:rPr>
                <w:rFonts w:asciiTheme="minorHAnsi" w:hAnsiTheme="minorHAnsi" w:cstheme="minorHAnsi"/>
              </w:rPr>
              <w:t>Practica</w:t>
            </w:r>
            <w:proofErr w:type="spellEnd"/>
            <w:r>
              <w:rPr>
                <w:rFonts w:asciiTheme="minorHAnsi" w:hAnsiTheme="minorHAnsi" w:cstheme="minorHAnsi"/>
              </w:rPr>
              <w:t xml:space="preserve">/internships that are supervised by SOU faculty may be taken for a grade; </w:t>
            </w:r>
            <w:proofErr w:type="spellStart"/>
            <w:r>
              <w:rPr>
                <w:rFonts w:asciiTheme="minorHAnsi" w:hAnsiTheme="minorHAnsi" w:cstheme="minorHAnsi"/>
              </w:rPr>
              <w:t>practica</w:t>
            </w:r>
            <w:proofErr w:type="spellEnd"/>
            <w:r>
              <w:rPr>
                <w:rFonts w:asciiTheme="minorHAnsi" w:hAnsiTheme="minorHAnsi" w:cstheme="minorHAnsi"/>
              </w:rPr>
              <w:t xml:space="preserve">/internships that are supervised externally (not by SOU faculty) may be taken P/NP only. </w:t>
            </w:r>
          </w:p>
          <w:p w14:paraId="2220A30B" w14:textId="77777777" w:rsidR="00256098" w:rsidRDefault="00256098" w:rsidP="00B33839">
            <w:pPr>
              <w:rPr>
                <w:rFonts w:asciiTheme="minorHAnsi" w:hAnsiTheme="minorHAnsi" w:cstheme="minorHAnsi"/>
              </w:rPr>
            </w:pPr>
          </w:p>
          <w:p w14:paraId="1A48DDF9" w14:textId="2DED3508" w:rsidR="00256098" w:rsidRPr="00B33839" w:rsidRDefault="00256098" w:rsidP="00B33839">
            <w:pPr>
              <w:rPr>
                <w:rFonts w:asciiTheme="minorHAnsi" w:hAnsiTheme="minorHAnsi" w:cstheme="minorHAnsi"/>
              </w:rPr>
            </w:pPr>
            <w:r w:rsidRPr="006B56A3">
              <w:rPr>
                <w:rFonts w:asciiTheme="minorHAnsi" w:hAnsiTheme="minorHAnsi" w:cstheme="minorHAnsi"/>
                <w:b/>
              </w:rPr>
              <w:lastRenderedPageBreak/>
              <w:t>Priority registration</w:t>
            </w:r>
            <w:r>
              <w:rPr>
                <w:rFonts w:asciiTheme="minorHAnsi" w:hAnsiTheme="minorHAnsi" w:cstheme="minorHAnsi"/>
              </w:rPr>
              <w:t xml:space="preserve">:  Success at Southern requested adding students in that program to the priority registration list.   This prompted a broader discussion of how many students now have priority registration rights.  There are two “tiers” of priority registration:  </w:t>
            </w:r>
            <w:r w:rsidR="006B56A3">
              <w:rPr>
                <w:rFonts w:asciiTheme="minorHAnsi" w:hAnsiTheme="minorHAnsi" w:cstheme="minorHAnsi"/>
              </w:rPr>
              <w:t xml:space="preserve">we added Success students to those who can register one week after the first day of registration, if not already eligible to enroll.  This prompted a longer conversation in Faculty Senate about how many categories of student are eligible for priority registration.  The policy change was approved by Senate, with the understanding that Policies would continue to monitor the impact. </w:t>
            </w:r>
          </w:p>
        </w:tc>
      </w:tr>
    </w:tbl>
    <w:p w14:paraId="3AA4F911" w14:textId="77777777" w:rsidR="001F3613" w:rsidRPr="00B33839" w:rsidRDefault="001F3613" w:rsidP="001F3613">
      <w:pPr>
        <w:rPr>
          <w:rFonts w:asciiTheme="minorHAnsi" w:hAnsiTheme="minorHAnsi" w:cstheme="minorHAnsi"/>
        </w:rPr>
      </w:pPr>
    </w:p>
    <w:p w14:paraId="65F3C6EF" w14:textId="77777777" w:rsidR="001F3613" w:rsidRPr="00B33839" w:rsidRDefault="00127950" w:rsidP="00D515F3">
      <w:pPr>
        <w:ind w:hanging="90"/>
        <w:rPr>
          <w:rFonts w:asciiTheme="minorHAnsi" w:hAnsiTheme="minorHAnsi" w:cstheme="minorHAnsi"/>
          <w:b/>
        </w:rPr>
      </w:pPr>
      <w:r w:rsidRPr="00B33839">
        <w:rPr>
          <w:rFonts w:asciiTheme="minorHAnsi" w:hAnsiTheme="minorHAnsi" w:cstheme="minorHAnsi"/>
          <w:b/>
        </w:rPr>
        <w:t>4</w:t>
      </w:r>
      <w:r w:rsidR="00D515F3" w:rsidRPr="00B33839">
        <w:rPr>
          <w:rFonts w:asciiTheme="minorHAnsi" w:hAnsiTheme="minorHAnsi" w:cstheme="minorHAnsi"/>
          <w:b/>
        </w:rPr>
        <w:t>. Given what you have learned this year, what goals do you recommend this senate committee focus upon in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1F3613" w:rsidRPr="00B33839" w14:paraId="6A9E9CC8" w14:textId="77777777" w:rsidTr="007B4D81">
        <w:trPr>
          <w:trHeight w:val="1440"/>
        </w:trPr>
        <w:tc>
          <w:tcPr>
            <w:tcW w:w="10278" w:type="dxa"/>
          </w:tcPr>
          <w:p w14:paraId="3E857468" w14:textId="09E1406C" w:rsidR="00DC1BE2" w:rsidRDefault="0094668B" w:rsidP="0094668B">
            <w:pPr>
              <w:ind w:left="720" w:hanging="720"/>
              <w:rPr>
                <w:rFonts w:asciiTheme="minorHAnsi" w:hAnsiTheme="minorHAnsi" w:cstheme="minorHAnsi"/>
              </w:rPr>
            </w:pPr>
            <w:r>
              <w:rPr>
                <w:rFonts w:asciiTheme="minorHAnsi" w:hAnsiTheme="minorHAnsi" w:cstheme="minorHAnsi"/>
              </w:rPr>
              <w:t xml:space="preserve">It would be helpful if the Senate Committee on Committees could </w:t>
            </w:r>
            <w:r w:rsidRPr="00F647E7">
              <w:rPr>
                <w:rFonts w:asciiTheme="minorHAnsi" w:hAnsiTheme="minorHAnsi" w:cstheme="minorHAnsi"/>
                <w:b/>
              </w:rPr>
              <w:t>get committee membership established earlier in fall term</w:t>
            </w:r>
            <w:r>
              <w:rPr>
                <w:rFonts w:asciiTheme="minorHAnsi" w:hAnsiTheme="minorHAnsi" w:cstheme="minorHAnsi"/>
              </w:rPr>
              <w:t xml:space="preserve"> each year: we didn’t have members in place until December which limited the progress we could make to things we could get done in two terms. </w:t>
            </w:r>
            <w:r w:rsidR="000A7588">
              <w:rPr>
                <w:rFonts w:asciiTheme="minorHAnsi" w:hAnsiTheme="minorHAnsi" w:cstheme="minorHAnsi"/>
              </w:rPr>
              <w:t xml:space="preserve"> This is NOT a “light duty” committee: bi-weekly meetings along with institutional memory and attention to the consequences of change to varied stakeholders is necessary.</w:t>
            </w:r>
            <w:bookmarkStart w:id="0" w:name="_GoBack"/>
            <w:bookmarkEnd w:id="0"/>
          </w:p>
          <w:p w14:paraId="3E0E3A88" w14:textId="37EAB21D" w:rsidR="00FC1960" w:rsidRDefault="00FC1960" w:rsidP="00FC1960">
            <w:pPr>
              <w:ind w:left="720" w:hanging="720"/>
              <w:rPr>
                <w:rFonts w:asciiTheme="minorHAnsi" w:hAnsiTheme="minorHAnsi" w:cstheme="minorHAnsi"/>
              </w:rPr>
            </w:pPr>
            <w:r>
              <w:rPr>
                <w:rFonts w:asciiTheme="minorHAnsi" w:hAnsiTheme="minorHAnsi" w:cstheme="minorHAnsi"/>
              </w:rPr>
              <w:t xml:space="preserve">We need to clarify </w:t>
            </w:r>
            <w:r w:rsidRPr="00F647E7">
              <w:rPr>
                <w:rFonts w:asciiTheme="minorHAnsi" w:hAnsiTheme="minorHAnsi" w:cstheme="minorHAnsi"/>
                <w:b/>
              </w:rPr>
              <w:t>division of labor/responsibilities between the Academic Policies Committee and the Curriculum Committee</w:t>
            </w:r>
            <w:r>
              <w:rPr>
                <w:rFonts w:asciiTheme="minorHAnsi" w:hAnsiTheme="minorHAnsi" w:cstheme="minorHAnsi"/>
              </w:rPr>
              <w:t xml:space="preserve"> on some issues.  We coordinated with Curriculum Committee on the </w:t>
            </w:r>
            <w:proofErr w:type="spellStart"/>
            <w:r>
              <w:rPr>
                <w:rFonts w:asciiTheme="minorHAnsi" w:hAnsiTheme="minorHAnsi" w:cstheme="minorHAnsi"/>
              </w:rPr>
              <w:t>crosslisting</w:t>
            </w:r>
            <w:proofErr w:type="spellEnd"/>
            <w:r>
              <w:rPr>
                <w:rFonts w:asciiTheme="minorHAnsi" w:hAnsiTheme="minorHAnsi" w:cstheme="minorHAnsi"/>
              </w:rPr>
              <w:t>/</w:t>
            </w:r>
            <w:proofErr w:type="spellStart"/>
            <w:r>
              <w:rPr>
                <w:rFonts w:asciiTheme="minorHAnsi" w:hAnsiTheme="minorHAnsi" w:cstheme="minorHAnsi"/>
              </w:rPr>
              <w:t>crossreferencing</w:t>
            </w:r>
            <w:proofErr w:type="spellEnd"/>
            <w:r>
              <w:rPr>
                <w:rFonts w:asciiTheme="minorHAnsi" w:hAnsiTheme="minorHAnsi" w:cstheme="minorHAnsi"/>
              </w:rPr>
              <w:t xml:space="preserve"> issue this year but it’s not always clear about what issues belong on which committee’s agenda.  Guidance from the Provost’s office would be helpful, particular on issues that require follow-up from year to year. </w:t>
            </w:r>
          </w:p>
          <w:p w14:paraId="14DE9323" w14:textId="77777777" w:rsidR="00D9447F" w:rsidRPr="00F647E7" w:rsidRDefault="00D9447F" w:rsidP="0094668B">
            <w:pPr>
              <w:ind w:left="720" w:hanging="720"/>
              <w:rPr>
                <w:rFonts w:asciiTheme="minorHAnsi" w:hAnsiTheme="minorHAnsi" w:cstheme="minorHAnsi"/>
                <w:b/>
              </w:rPr>
            </w:pPr>
            <w:r w:rsidRPr="00F647E7">
              <w:rPr>
                <w:rFonts w:asciiTheme="minorHAnsi" w:hAnsiTheme="minorHAnsi" w:cstheme="minorHAnsi"/>
                <w:b/>
              </w:rPr>
              <w:t>Tasks carried over to 16-17</w:t>
            </w:r>
          </w:p>
          <w:p w14:paraId="6AEECC3B" w14:textId="64870767" w:rsidR="00D9447F" w:rsidRPr="00D9447F" w:rsidRDefault="00D9447F" w:rsidP="00D9447F">
            <w:pPr>
              <w:pStyle w:val="ListParagraph"/>
              <w:numPr>
                <w:ilvl w:val="0"/>
                <w:numId w:val="6"/>
              </w:numPr>
              <w:rPr>
                <w:rFonts w:eastAsia="Times New Roman" w:cs="Calibri"/>
                <w:sz w:val="20"/>
                <w:szCs w:val="20"/>
              </w:rPr>
            </w:pPr>
            <w:r w:rsidRPr="00D9447F">
              <w:rPr>
                <w:rFonts w:cs="Calibri"/>
                <w:sz w:val="20"/>
                <w:szCs w:val="20"/>
              </w:rPr>
              <w:t>Certificates policies</w:t>
            </w:r>
            <w:r w:rsidR="0084455C">
              <w:rPr>
                <w:rFonts w:cs="Calibri"/>
                <w:sz w:val="20"/>
                <w:szCs w:val="20"/>
              </w:rPr>
              <w:t xml:space="preserve"> (see the “double dipping” issue below)</w:t>
            </w:r>
          </w:p>
          <w:p w14:paraId="231348D4" w14:textId="19495CE1" w:rsidR="00D9447F" w:rsidRPr="00D9447F" w:rsidRDefault="00D9447F" w:rsidP="00D9447F">
            <w:pPr>
              <w:pStyle w:val="ListParagraph"/>
              <w:numPr>
                <w:ilvl w:val="0"/>
                <w:numId w:val="6"/>
              </w:numPr>
              <w:rPr>
                <w:rFonts w:cs="Calibri"/>
                <w:sz w:val="20"/>
                <w:szCs w:val="20"/>
              </w:rPr>
            </w:pPr>
            <w:r w:rsidRPr="00D9447F">
              <w:rPr>
                <w:rFonts w:cs="Calibri"/>
                <w:sz w:val="20"/>
                <w:szCs w:val="20"/>
              </w:rPr>
              <w:t>Priority registration—revi</w:t>
            </w:r>
            <w:r>
              <w:rPr>
                <w:rFonts w:cs="Calibri"/>
                <w:sz w:val="20"/>
                <w:szCs w:val="20"/>
              </w:rPr>
              <w:t>ew impact, modify eligibility.</w:t>
            </w:r>
            <w:r w:rsidRPr="00D9447F">
              <w:rPr>
                <w:rFonts w:cs="Calibri"/>
                <w:sz w:val="20"/>
                <w:szCs w:val="20"/>
              </w:rPr>
              <w:t xml:space="preserve"> in line for priority registration in the future</w:t>
            </w:r>
            <w:r w:rsidR="0084455C">
              <w:rPr>
                <w:rFonts w:cs="Calibri"/>
                <w:sz w:val="20"/>
                <w:szCs w:val="20"/>
              </w:rPr>
              <w:t xml:space="preserve"> are the </w:t>
            </w:r>
            <w:r w:rsidRPr="00D9447F">
              <w:rPr>
                <w:rFonts w:cs="Calibri"/>
                <w:sz w:val="20"/>
                <w:szCs w:val="20"/>
              </w:rPr>
              <w:t>Jackson/Josephine County Pledge</w:t>
            </w:r>
            <w:r w:rsidRPr="00D9447F">
              <w:rPr>
                <w:rFonts w:cs="Calibri"/>
                <w:sz w:val="20"/>
                <w:szCs w:val="20"/>
              </w:rPr>
              <w:t xml:space="preserve">; </w:t>
            </w:r>
            <w:r w:rsidRPr="00D9447F">
              <w:rPr>
                <w:rFonts w:cs="Calibri"/>
                <w:sz w:val="20"/>
                <w:szCs w:val="20"/>
              </w:rPr>
              <w:t>Bridge</w:t>
            </w:r>
            <w:r w:rsidRPr="00D9447F">
              <w:rPr>
                <w:rFonts w:cs="Calibri"/>
                <w:sz w:val="20"/>
                <w:szCs w:val="20"/>
              </w:rPr>
              <w:t xml:space="preserve"> program students</w:t>
            </w:r>
            <w:r w:rsidR="0084455C">
              <w:rPr>
                <w:rFonts w:cs="Calibri"/>
                <w:sz w:val="20"/>
                <w:szCs w:val="20"/>
              </w:rPr>
              <w:t xml:space="preserve">.  Are there too many categories of students on the priority </w:t>
            </w:r>
            <w:proofErr w:type="spellStart"/>
            <w:r w:rsidR="0084455C">
              <w:rPr>
                <w:rFonts w:cs="Calibri"/>
                <w:sz w:val="20"/>
                <w:szCs w:val="20"/>
              </w:rPr>
              <w:t>reg</w:t>
            </w:r>
            <w:proofErr w:type="spellEnd"/>
            <w:r w:rsidR="0084455C">
              <w:rPr>
                <w:rFonts w:cs="Calibri"/>
                <w:sz w:val="20"/>
                <w:szCs w:val="20"/>
              </w:rPr>
              <w:t xml:space="preserve"> list?</w:t>
            </w:r>
          </w:p>
          <w:p w14:paraId="13CFE306" w14:textId="7586F23A" w:rsidR="00D9447F" w:rsidRPr="00D9447F" w:rsidRDefault="00D9447F" w:rsidP="00D9447F">
            <w:pPr>
              <w:pStyle w:val="ListParagraph"/>
              <w:numPr>
                <w:ilvl w:val="0"/>
                <w:numId w:val="6"/>
              </w:numPr>
              <w:rPr>
                <w:rFonts w:eastAsia="Times New Roman" w:cs="Calibri"/>
                <w:sz w:val="20"/>
                <w:szCs w:val="20"/>
              </w:rPr>
            </w:pPr>
            <w:r w:rsidRPr="00D9447F">
              <w:rPr>
                <w:rFonts w:eastAsia="Times New Roman" w:cs="Calibri"/>
                <w:sz w:val="20"/>
                <w:szCs w:val="20"/>
              </w:rPr>
              <w:t>BS</w:t>
            </w:r>
            <w:r w:rsidRPr="00D9447F">
              <w:rPr>
                <w:rFonts w:cs="Calibri"/>
                <w:sz w:val="20"/>
                <w:szCs w:val="20"/>
              </w:rPr>
              <w:t>/BA</w:t>
            </w:r>
            <w:r w:rsidRPr="00D9447F">
              <w:rPr>
                <w:rFonts w:eastAsia="Times New Roman" w:cs="Calibri"/>
                <w:sz w:val="20"/>
                <w:szCs w:val="20"/>
              </w:rPr>
              <w:t xml:space="preserve"> degree</w:t>
            </w:r>
            <w:r w:rsidRPr="00D9447F">
              <w:rPr>
                <w:rFonts w:cs="Calibri"/>
                <w:sz w:val="20"/>
                <w:szCs w:val="20"/>
              </w:rPr>
              <w:t xml:space="preserve"> requirements</w:t>
            </w:r>
            <w:r w:rsidRPr="00D9447F">
              <w:rPr>
                <w:rFonts w:eastAsia="Times New Roman" w:cs="Calibri"/>
                <w:sz w:val="20"/>
                <w:szCs w:val="20"/>
              </w:rPr>
              <w:t xml:space="preserve"> oversight</w:t>
            </w:r>
            <w:r w:rsidRPr="00D9447F">
              <w:rPr>
                <w:rFonts w:cs="Calibri"/>
                <w:sz w:val="20"/>
                <w:szCs w:val="20"/>
              </w:rPr>
              <w:t xml:space="preserve"> (carried over for several years at this point)</w:t>
            </w:r>
          </w:p>
          <w:p w14:paraId="5B9997D0" w14:textId="00C12CFF" w:rsidR="00D9447F" w:rsidRPr="00D9447F" w:rsidRDefault="00D9447F" w:rsidP="00D9447F">
            <w:pPr>
              <w:pStyle w:val="ListParagraph"/>
              <w:numPr>
                <w:ilvl w:val="0"/>
                <w:numId w:val="6"/>
              </w:numPr>
              <w:rPr>
                <w:rFonts w:cs="Calibri"/>
                <w:sz w:val="20"/>
                <w:szCs w:val="20"/>
              </w:rPr>
            </w:pPr>
            <w:r w:rsidRPr="00D9447F">
              <w:rPr>
                <w:rFonts w:cs="Calibri"/>
                <w:sz w:val="20"/>
                <w:szCs w:val="20"/>
              </w:rPr>
              <w:t>CPL/Prior learning</w:t>
            </w:r>
            <w:r w:rsidRPr="00D9447F">
              <w:rPr>
                <w:rFonts w:cs="Calibri"/>
                <w:sz w:val="20"/>
                <w:szCs w:val="20"/>
              </w:rPr>
              <w:t xml:space="preserve">: Special Academic Credit catalog section INL is reviewing a couple of portfolios) </w:t>
            </w:r>
            <w:r w:rsidRPr="00D9447F">
              <w:rPr>
                <w:rFonts w:cs="Calibri"/>
                <w:sz w:val="20"/>
                <w:szCs w:val="20"/>
              </w:rPr>
              <w:t>See policy from AY14-15:</w:t>
            </w:r>
            <w:r w:rsidRPr="00D9447F">
              <w:rPr>
                <w:rFonts w:cs="Calibri"/>
                <w:sz w:val="20"/>
                <w:szCs w:val="20"/>
              </w:rPr>
              <w:t xml:space="preserve"> </w:t>
            </w:r>
            <w:r w:rsidRPr="00D9447F">
              <w:rPr>
                <w:rFonts w:cs="Calibri"/>
                <w:sz w:val="20"/>
                <w:szCs w:val="20"/>
              </w:rPr>
              <w:t xml:space="preserve">what </w:t>
            </w:r>
            <w:r w:rsidRPr="00D9447F">
              <w:rPr>
                <w:rFonts w:cs="Calibri"/>
                <w:sz w:val="20"/>
                <w:szCs w:val="20"/>
              </w:rPr>
              <w:t>to add?  Remove?</w:t>
            </w:r>
          </w:p>
          <w:p w14:paraId="4666CA3E" w14:textId="77777777" w:rsidR="0084455C" w:rsidRDefault="00D9447F" w:rsidP="00D9447F">
            <w:pPr>
              <w:pStyle w:val="ListParagraph"/>
              <w:numPr>
                <w:ilvl w:val="0"/>
                <w:numId w:val="6"/>
              </w:numPr>
              <w:spacing w:after="160" w:line="256" w:lineRule="auto"/>
              <w:rPr>
                <w:rFonts w:cs="Calibri"/>
                <w:sz w:val="20"/>
                <w:szCs w:val="20"/>
              </w:rPr>
            </w:pPr>
            <w:r w:rsidRPr="0084455C">
              <w:rPr>
                <w:rFonts w:cs="Calibri"/>
                <w:sz w:val="20"/>
                <w:szCs w:val="20"/>
              </w:rPr>
              <w:t xml:space="preserve">Pre-major codes—what to do about them (see Apr. 10 2015 minutes for details)  </w:t>
            </w:r>
            <w:r w:rsidRPr="00D9447F">
              <w:rPr>
                <w:rFonts w:cs="Calibri"/>
                <w:sz w:val="20"/>
                <w:szCs w:val="20"/>
              </w:rPr>
              <w:t xml:space="preserve"> </w:t>
            </w:r>
          </w:p>
          <w:p w14:paraId="536C02FA" w14:textId="7F53A17A" w:rsidR="00D9447F" w:rsidRPr="0084455C" w:rsidRDefault="00D9447F" w:rsidP="00D9447F">
            <w:pPr>
              <w:pStyle w:val="ListParagraph"/>
              <w:numPr>
                <w:ilvl w:val="0"/>
                <w:numId w:val="6"/>
              </w:numPr>
              <w:spacing w:after="160" w:line="256" w:lineRule="auto"/>
              <w:rPr>
                <w:rFonts w:cs="Calibri"/>
                <w:sz w:val="20"/>
                <w:szCs w:val="20"/>
              </w:rPr>
            </w:pPr>
            <w:r w:rsidRPr="0084455C">
              <w:rPr>
                <w:rFonts w:cs="Calibri"/>
                <w:sz w:val="20"/>
                <w:szCs w:val="20"/>
              </w:rPr>
              <w:t>Proficiency standard</w:t>
            </w:r>
            <w:r w:rsidR="0084455C" w:rsidRPr="0084455C">
              <w:rPr>
                <w:rFonts w:cs="Calibri"/>
                <w:sz w:val="20"/>
                <w:szCs w:val="20"/>
              </w:rPr>
              <w:t xml:space="preserve"> </w:t>
            </w:r>
            <w:r w:rsidRPr="0084455C">
              <w:rPr>
                <w:rFonts w:cs="Calibri"/>
                <w:sz w:val="20"/>
                <w:szCs w:val="20"/>
              </w:rPr>
              <w:t xml:space="preserve">for all US/gen </w:t>
            </w:r>
            <w:proofErr w:type="spellStart"/>
            <w:r w:rsidRPr="0084455C">
              <w:rPr>
                <w:rFonts w:cs="Calibri"/>
                <w:sz w:val="20"/>
                <w:szCs w:val="20"/>
              </w:rPr>
              <w:t>eds</w:t>
            </w:r>
            <w:proofErr w:type="spellEnd"/>
            <w:r w:rsidRPr="0084455C">
              <w:rPr>
                <w:rFonts w:cs="Calibri"/>
                <w:sz w:val="20"/>
                <w:szCs w:val="20"/>
              </w:rPr>
              <w:t>: defining “met” level--? C-? or can</w:t>
            </w:r>
            <w:r w:rsidR="0084455C" w:rsidRPr="0084455C">
              <w:rPr>
                <w:rFonts w:cs="Calibri"/>
                <w:sz w:val="20"/>
                <w:szCs w:val="20"/>
              </w:rPr>
              <w:t xml:space="preserve"> Ds get degrees? </w:t>
            </w:r>
          </w:p>
          <w:p w14:paraId="71BB03FD" w14:textId="77777777" w:rsidR="00D9447F" w:rsidRPr="00D9447F" w:rsidRDefault="00D9447F" w:rsidP="00D9447F">
            <w:pPr>
              <w:pStyle w:val="ListParagraph"/>
              <w:numPr>
                <w:ilvl w:val="0"/>
                <w:numId w:val="6"/>
              </w:numPr>
              <w:spacing w:after="160" w:line="256" w:lineRule="auto"/>
              <w:rPr>
                <w:rFonts w:cs="Calibri"/>
                <w:sz w:val="20"/>
                <w:szCs w:val="20"/>
              </w:rPr>
            </w:pPr>
            <w:r w:rsidRPr="00D9447F">
              <w:rPr>
                <w:rFonts w:cs="Calibri"/>
                <w:sz w:val="20"/>
                <w:szCs w:val="20"/>
              </w:rPr>
              <w:t>Academic progress definition alignment with fin aid’s 50% rule:  academic standing/warning status. Matt will let us know when to do this; fin aid director will be in place soon (stay tuned)</w:t>
            </w:r>
          </w:p>
          <w:p w14:paraId="2E94F294" w14:textId="2B33EB69" w:rsidR="00D9447F" w:rsidRPr="00D9447F" w:rsidRDefault="00D9447F" w:rsidP="00D9447F">
            <w:pPr>
              <w:pStyle w:val="ListParagraph"/>
              <w:numPr>
                <w:ilvl w:val="0"/>
                <w:numId w:val="6"/>
              </w:numPr>
              <w:spacing w:after="160" w:line="256" w:lineRule="auto"/>
              <w:rPr>
                <w:rFonts w:cs="Calibri"/>
                <w:color w:val="FF0000"/>
                <w:sz w:val="20"/>
                <w:szCs w:val="20"/>
              </w:rPr>
            </w:pPr>
            <w:r w:rsidRPr="00D9447F">
              <w:rPr>
                <w:rFonts w:cs="Calibri"/>
                <w:sz w:val="20"/>
                <w:szCs w:val="20"/>
              </w:rPr>
              <w:t>Minor/major double-dipping:  Where are the problems? In which programs?  what about certificates; is this a “program discretion” issue rather than an institutional policy issue?  What do these credentials “mean</w:t>
            </w:r>
            <w:r w:rsidR="0084455C">
              <w:rPr>
                <w:rFonts w:cs="Calibri"/>
                <w:sz w:val="20"/>
                <w:szCs w:val="20"/>
              </w:rPr>
              <w:t>?</w:t>
            </w:r>
            <w:r w:rsidRPr="00D9447F">
              <w:rPr>
                <w:rFonts w:cs="Calibri"/>
                <w:sz w:val="20"/>
                <w:szCs w:val="20"/>
              </w:rPr>
              <w:t xml:space="preserve">” </w:t>
            </w:r>
          </w:p>
          <w:p w14:paraId="4BA74212" w14:textId="39BF572B" w:rsidR="00D9447F" w:rsidRPr="00B33839" w:rsidRDefault="00D9447F" w:rsidP="0094668B">
            <w:pPr>
              <w:ind w:left="720" w:hanging="720"/>
              <w:rPr>
                <w:rFonts w:asciiTheme="minorHAnsi" w:hAnsiTheme="minorHAnsi" w:cstheme="minorHAnsi"/>
              </w:rPr>
            </w:pPr>
          </w:p>
        </w:tc>
      </w:tr>
    </w:tbl>
    <w:p w14:paraId="61F1823D" w14:textId="77777777" w:rsidR="001F3613" w:rsidRPr="00B33839" w:rsidRDefault="001F3613" w:rsidP="00966F02">
      <w:pPr>
        <w:rPr>
          <w:rFonts w:asciiTheme="minorHAnsi" w:hAnsiTheme="minorHAnsi" w:cstheme="minorHAnsi"/>
          <w:b/>
        </w:rPr>
      </w:pPr>
    </w:p>
    <w:sectPr w:rsidR="001F3613" w:rsidRPr="00B33839" w:rsidSect="007B4D81">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F2B4" w14:textId="77777777" w:rsidR="00E35DFA" w:rsidRDefault="00E35DFA" w:rsidP="00D515F3">
      <w:r>
        <w:separator/>
      </w:r>
    </w:p>
  </w:endnote>
  <w:endnote w:type="continuationSeparator" w:id="0">
    <w:p w14:paraId="36767A92" w14:textId="77777777" w:rsidR="00E35DFA" w:rsidRDefault="00E35DFA" w:rsidP="00D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0AA8" w14:textId="77777777" w:rsidR="00785A27" w:rsidRDefault="00785A27" w:rsidP="00785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59A62C" w14:textId="77777777" w:rsidR="00785A27" w:rsidRDefault="00785A27" w:rsidP="00785A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18786"/>
      <w:docPartObj>
        <w:docPartGallery w:val="Page Numbers (Bottom of Page)"/>
        <w:docPartUnique/>
      </w:docPartObj>
    </w:sdtPr>
    <w:sdtEndPr>
      <w:rPr>
        <w:noProof/>
      </w:rPr>
    </w:sdtEndPr>
    <w:sdtContent>
      <w:p w14:paraId="0772C9FD" w14:textId="38BC96F3" w:rsidR="00517AC4" w:rsidRDefault="00517AC4">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0A3A9C7A" w14:textId="3D21B2EA" w:rsidR="00785A27" w:rsidRPr="005E67F0" w:rsidRDefault="00517AC4" w:rsidP="00785A27">
    <w:pPr>
      <w:pStyle w:val="Footer"/>
      <w:ind w:right="360"/>
      <w:rPr>
        <w:sz w:val="16"/>
        <w:szCs w:val="16"/>
      </w:rPr>
    </w:pPr>
    <w:r>
      <w:rPr>
        <w:sz w:val="16"/>
        <w:szCs w:val="16"/>
      </w:rPr>
      <w:t xml:space="preserve">Academic Policies Committee 15-16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25A4" w14:textId="77777777" w:rsidR="00E35DFA" w:rsidRDefault="00E35DFA" w:rsidP="00D515F3">
      <w:r>
        <w:separator/>
      </w:r>
    </w:p>
  </w:footnote>
  <w:footnote w:type="continuationSeparator" w:id="0">
    <w:p w14:paraId="2EF13C64" w14:textId="77777777" w:rsidR="00E35DFA" w:rsidRDefault="00E35DFA" w:rsidP="00D5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16D6"/>
    <w:multiLevelType w:val="hybridMultilevel"/>
    <w:tmpl w:val="419C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9517A"/>
    <w:multiLevelType w:val="hybridMultilevel"/>
    <w:tmpl w:val="FAE6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2151C"/>
    <w:multiLevelType w:val="hybridMultilevel"/>
    <w:tmpl w:val="2FCE5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FB3836"/>
    <w:multiLevelType w:val="hybridMultilevel"/>
    <w:tmpl w:val="805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E1A7E"/>
    <w:multiLevelType w:val="hybridMultilevel"/>
    <w:tmpl w:val="0F1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60814"/>
    <w:multiLevelType w:val="hybridMultilevel"/>
    <w:tmpl w:val="FFA02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13"/>
    <w:rsid w:val="000115E2"/>
    <w:rsid w:val="000A7588"/>
    <w:rsid w:val="00127950"/>
    <w:rsid w:val="001A0035"/>
    <w:rsid w:val="001F3613"/>
    <w:rsid w:val="00256098"/>
    <w:rsid w:val="004D4DF7"/>
    <w:rsid w:val="00517AC4"/>
    <w:rsid w:val="00607E29"/>
    <w:rsid w:val="006B56A3"/>
    <w:rsid w:val="00785A27"/>
    <w:rsid w:val="007B4D81"/>
    <w:rsid w:val="00805069"/>
    <w:rsid w:val="0084455C"/>
    <w:rsid w:val="0089476F"/>
    <w:rsid w:val="008D5F4A"/>
    <w:rsid w:val="0094668B"/>
    <w:rsid w:val="00966F02"/>
    <w:rsid w:val="00A34F16"/>
    <w:rsid w:val="00A43B3E"/>
    <w:rsid w:val="00A57C6C"/>
    <w:rsid w:val="00B33839"/>
    <w:rsid w:val="00BB4D0F"/>
    <w:rsid w:val="00CA1DAE"/>
    <w:rsid w:val="00D25E8C"/>
    <w:rsid w:val="00D515F3"/>
    <w:rsid w:val="00D9447F"/>
    <w:rsid w:val="00DC1BE2"/>
    <w:rsid w:val="00E02DE6"/>
    <w:rsid w:val="00E34670"/>
    <w:rsid w:val="00E35DFA"/>
    <w:rsid w:val="00EC4623"/>
    <w:rsid w:val="00F450FA"/>
    <w:rsid w:val="00F647E7"/>
    <w:rsid w:val="00FC1960"/>
    <w:rsid w:val="00FD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CAA6"/>
  <w15:docId w15:val="{650AE6D6-C82A-4B89-92BE-66C0058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unhideWhenUsed/>
    <w:rsid w:val="00D515F3"/>
    <w:pPr>
      <w:tabs>
        <w:tab w:val="center" w:pos="4680"/>
        <w:tab w:val="right" w:pos="9360"/>
      </w:tabs>
    </w:pPr>
  </w:style>
  <w:style w:type="character" w:customStyle="1" w:styleId="HeaderChar">
    <w:name w:val="Header Char"/>
    <w:basedOn w:val="DefaultParagraphFont"/>
    <w:link w:val="Header"/>
    <w:uiPriority w:val="99"/>
    <w:rsid w:val="00D51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Echo Fields</cp:lastModifiedBy>
  <cp:revision>13</cp:revision>
  <dcterms:created xsi:type="dcterms:W3CDTF">2017-07-11T21:10:00Z</dcterms:created>
  <dcterms:modified xsi:type="dcterms:W3CDTF">2017-07-11T22:24:00Z</dcterms:modified>
</cp:coreProperties>
</file>