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F1D6A" w14:textId="77777777" w:rsidR="00B05CEE" w:rsidRDefault="00B05CEE" w:rsidP="009249C7">
      <w:pPr>
        <w:ind w:left="5760" w:firstLine="720"/>
        <w:rPr>
          <w:sz w:val="22"/>
          <w:szCs w:val="22"/>
        </w:rPr>
      </w:pPr>
    </w:p>
    <w:p w14:paraId="47D83251" w14:textId="77777777" w:rsidR="009249C7" w:rsidRPr="009249C7" w:rsidRDefault="009249C7" w:rsidP="009249C7">
      <w:pPr>
        <w:jc w:val="center"/>
        <w:rPr>
          <w:b/>
        </w:rPr>
      </w:pPr>
      <w:r w:rsidRPr="009249C7">
        <w:rPr>
          <w:b/>
        </w:rPr>
        <w:t>Draft Senate Minutes</w:t>
      </w:r>
    </w:p>
    <w:p w14:paraId="4C0F19DA" w14:textId="77777777" w:rsidR="00B05CEE" w:rsidRPr="009249C7" w:rsidRDefault="00B67A96" w:rsidP="009249C7">
      <w:pPr>
        <w:jc w:val="center"/>
        <w:rPr>
          <w:b/>
        </w:rPr>
      </w:pPr>
      <w:r w:rsidRPr="009249C7">
        <w:rPr>
          <w:b/>
        </w:rPr>
        <w:t xml:space="preserve">October </w:t>
      </w:r>
      <w:r w:rsidR="00351811" w:rsidRPr="009249C7">
        <w:rPr>
          <w:b/>
        </w:rPr>
        <w:t>17</w:t>
      </w:r>
      <w:r w:rsidRPr="009249C7">
        <w:rPr>
          <w:b/>
        </w:rPr>
        <w:t>, 2016</w:t>
      </w:r>
    </w:p>
    <w:p w14:paraId="7A5FA485" w14:textId="77777777" w:rsidR="00B67A96" w:rsidRPr="009249C7" w:rsidRDefault="00B67A96" w:rsidP="009249C7">
      <w:pPr>
        <w:jc w:val="center"/>
        <w:rPr>
          <w:b/>
        </w:rPr>
      </w:pPr>
      <w:r w:rsidRPr="009249C7">
        <w:rPr>
          <w:b/>
        </w:rPr>
        <w:t>SU 313 4:00 – 5:30 pm</w:t>
      </w:r>
    </w:p>
    <w:p w14:paraId="42378AD6" w14:textId="77777777" w:rsidR="00B67A96" w:rsidRDefault="00FC4CFF" w:rsidP="00B67A96">
      <w:r>
        <w:t xml:space="preserve">Video: </w:t>
      </w:r>
      <w:hyperlink r:id="rId9" w:history="1">
        <w:r w:rsidRPr="00F511EB">
          <w:rPr>
            <w:rStyle w:val="Hyperlink"/>
          </w:rPr>
          <w:t>https://sites.google.com/a/sou.edu/sou-faculty-senate-videos/october-17-2016</w:t>
        </w:r>
      </w:hyperlink>
      <w:bookmarkStart w:id="0" w:name="_GoBack"/>
      <w:bookmarkEnd w:id="0"/>
    </w:p>
    <w:p w14:paraId="67D60BC8" w14:textId="77777777" w:rsidR="00FC4CFF" w:rsidRPr="009249C7" w:rsidRDefault="00FC4CFF" w:rsidP="00B67A96"/>
    <w:p w14:paraId="198EE1E8" w14:textId="77777777" w:rsidR="00DE0103" w:rsidRPr="00DE0103" w:rsidRDefault="00DE0103" w:rsidP="00DE0103">
      <w:r w:rsidRPr="003F5052">
        <w:rPr>
          <w:rFonts w:eastAsia="Calibri" w:cs="Arial"/>
          <w:b/>
          <w:bCs/>
          <w:color w:val="000000"/>
        </w:rPr>
        <w:t>Present:</w:t>
      </w:r>
      <w:r w:rsidRPr="003F5052">
        <w:rPr>
          <w:rFonts w:eastAsia="Calibri" w:cs="Arial"/>
          <w:bCs/>
          <w:color w:val="000000"/>
        </w:rPr>
        <w:t xml:space="preserve"> </w:t>
      </w:r>
      <w:r w:rsidR="00DC55DD">
        <w:rPr>
          <w:rFonts w:eastAsia="Calibri" w:cs="Arial"/>
          <w:bCs/>
          <w:color w:val="000000"/>
        </w:rPr>
        <w:t xml:space="preserve">Alexander </w:t>
      </w:r>
      <w:proofErr w:type="spellStart"/>
      <w:r w:rsidR="00DC55DD">
        <w:rPr>
          <w:rFonts w:eastAsia="Calibri" w:cs="Arial"/>
          <w:bCs/>
          <w:color w:val="000000"/>
        </w:rPr>
        <w:t>Tutunov</w:t>
      </w:r>
      <w:proofErr w:type="spellEnd"/>
      <w:r w:rsidR="00DC55DD">
        <w:rPr>
          <w:rFonts w:eastAsia="Calibri" w:cs="Arial"/>
          <w:bCs/>
          <w:color w:val="000000"/>
        </w:rPr>
        <w:t xml:space="preserve"> (for Rhett Bender), </w:t>
      </w:r>
      <w:r w:rsidRPr="00DE0103">
        <w:t xml:space="preserve">Deborah Brown, Alison Burke, Prakash Chenjeri, Carol Ferguson, </w:t>
      </w:r>
      <w:r w:rsidR="00D00F44">
        <w:t xml:space="preserve">Brian Stonelake (for </w:t>
      </w:r>
      <w:r w:rsidR="00D00F44" w:rsidRPr="00DE0103">
        <w:t xml:space="preserve">Curtis Feist), </w:t>
      </w:r>
      <w:r w:rsidRPr="00DE0103">
        <w:t xml:space="preserve">Andrew Gay, </w:t>
      </w:r>
      <w:r w:rsidR="00D00F44">
        <w:rPr>
          <w:rFonts w:eastAsia="Calibri" w:cs="Arial"/>
          <w:bCs/>
          <w:color w:val="000000"/>
        </w:rPr>
        <w:t>Dennis Jablonski</w:t>
      </w:r>
      <w:r w:rsidR="00D00F44">
        <w:t xml:space="preserve">, </w:t>
      </w:r>
      <w:r w:rsidRPr="00DE0103">
        <w:t xml:space="preserve">Laurie Kurutz, Richard May, </w:t>
      </w:r>
      <w:r w:rsidR="00D00F44" w:rsidRPr="003F5052">
        <w:rPr>
          <w:rFonts w:eastAsia="Calibri" w:cs="Arial"/>
          <w:bCs/>
          <w:color w:val="000000"/>
        </w:rPr>
        <w:t>Erik Palmer</w:t>
      </w:r>
      <w:r w:rsidR="00D00F44">
        <w:rPr>
          <w:rFonts w:eastAsia="Calibri" w:cs="Arial"/>
          <w:bCs/>
          <w:color w:val="000000"/>
        </w:rPr>
        <w:t>,</w:t>
      </w:r>
      <w:r w:rsidR="00D00F44" w:rsidRPr="00DE0103">
        <w:t xml:space="preserve"> </w:t>
      </w:r>
      <w:r w:rsidR="00D00F44" w:rsidRPr="003F5052">
        <w:rPr>
          <w:rFonts w:eastAsia="Calibri" w:cs="Arial"/>
          <w:bCs/>
          <w:color w:val="000000"/>
        </w:rPr>
        <w:t>Deborah Rosenberg</w:t>
      </w:r>
      <w:r w:rsidR="00D00F44">
        <w:rPr>
          <w:rFonts w:eastAsia="Calibri" w:cs="Arial"/>
          <w:bCs/>
          <w:color w:val="000000"/>
        </w:rPr>
        <w:t>,</w:t>
      </w:r>
      <w:r w:rsidR="00D00F44" w:rsidRPr="00DE0103">
        <w:t xml:space="preserve"> </w:t>
      </w:r>
      <w:r w:rsidR="00D00F44" w:rsidRPr="003F5052">
        <w:rPr>
          <w:rFonts w:eastAsia="Calibri" w:cs="Arial"/>
          <w:bCs/>
          <w:color w:val="000000"/>
        </w:rPr>
        <w:t>Larry Shrewsbury</w:t>
      </w:r>
      <w:r w:rsidR="00D00F44">
        <w:t>,</w:t>
      </w:r>
      <w:r w:rsidR="00E10521">
        <w:t xml:space="preserve"> </w:t>
      </w:r>
      <w:r w:rsidRPr="00DE0103">
        <w:t>Ariel Tumb</w:t>
      </w:r>
      <w:r w:rsidR="00DC55DD">
        <w:t xml:space="preserve">aga, and Mark Tveskov. </w:t>
      </w:r>
    </w:p>
    <w:p w14:paraId="197D4A7D" w14:textId="77777777" w:rsidR="00DE0103" w:rsidRPr="003F5052" w:rsidRDefault="00DE0103" w:rsidP="00DE0103">
      <w:pPr>
        <w:autoSpaceDE w:val="0"/>
        <w:autoSpaceDN w:val="0"/>
        <w:adjustRightInd w:val="0"/>
        <w:rPr>
          <w:rFonts w:eastAsia="Calibri" w:cs="Arial"/>
          <w:bCs/>
          <w:color w:val="000000"/>
        </w:rPr>
      </w:pPr>
    </w:p>
    <w:p w14:paraId="769F62A4" w14:textId="77777777" w:rsidR="00DC55DD" w:rsidRDefault="00DE0103" w:rsidP="00DE0103">
      <w:pPr>
        <w:autoSpaceDE w:val="0"/>
        <w:autoSpaceDN w:val="0"/>
        <w:adjustRightInd w:val="0"/>
        <w:rPr>
          <w:rFonts w:eastAsia="Calibri" w:cs="Arial"/>
          <w:bCs/>
          <w:color w:val="000000"/>
        </w:rPr>
      </w:pPr>
      <w:r w:rsidRPr="003F5052">
        <w:rPr>
          <w:rFonts w:eastAsia="Calibri" w:cs="Arial"/>
          <w:b/>
          <w:bCs/>
          <w:color w:val="000000"/>
        </w:rPr>
        <w:t xml:space="preserve">Absent: </w:t>
      </w:r>
      <w:r w:rsidR="00E10521">
        <w:rPr>
          <w:rFonts w:eastAsia="Calibri" w:cs="Arial"/>
          <w:bCs/>
          <w:color w:val="000000"/>
        </w:rPr>
        <w:t xml:space="preserve"> Marianne Golding, Laura Jones</w:t>
      </w:r>
      <w:r w:rsidR="007524F1">
        <w:rPr>
          <w:rFonts w:eastAsia="Calibri" w:cs="Arial"/>
          <w:bCs/>
          <w:color w:val="000000"/>
        </w:rPr>
        <w:t>,</w:t>
      </w:r>
      <w:r w:rsidR="00D00F44" w:rsidRPr="00DE0103">
        <w:t xml:space="preserve"> </w:t>
      </w:r>
      <w:r w:rsidR="00DC55DD">
        <w:rPr>
          <w:rFonts w:eastAsia="Calibri" w:cs="Arial"/>
          <w:bCs/>
          <w:color w:val="000000"/>
        </w:rPr>
        <w:t xml:space="preserve">Donna Lane, Dorothy Ormes, Steven Petrovic, Robin Strangfeld, and Douglas Smith. </w:t>
      </w:r>
    </w:p>
    <w:p w14:paraId="5B98277C" w14:textId="77777777" w:rsidR="00DC55DD" w:rsidRDefault="00DC55DD" w:rsidP="00DE0103">
      <w:pPr>
        <w:autoSpaceDE w:val="0"/>
        <w:autoSpaceDN w:val="0"/>
        <w:adjustRightInd w:val="0"/>
        <w:rPr>
          <w:rFonts w:eastAsia="Calibri" w:cs="Arial"/>
          <w:bCs/>
          <w:color w:val="000000"/>
        </w:rPr>
      </w:pPr>
    </w:p>
    <w:p w14:paraId="772FAE43" w14:textId="77777777" w:rsidR="00DE0103" w:rsidRPr="003F5052" w:rsidRDefault="00DE0103" w:rsidP="00DE0103">
      <w:pPr>
        <w:autoSpaceDE w:val="0"/>
        <w:autoSpaceDN w:val="0"/>
        <w:adjustRightInd w:val="0"/>
        <w:rPr>
          <w:rFonts w:eastAsia="Calibri" w:cs="Arial"/>
          <w:bCs/>
          <w:color w:val="000000"/>
        </w:rPr>
      </w:pPr>
      <w:r w:rsidRPr="003F5052">
        <w:rPr>
          <w:rFonts w:eastAsia="Calibri" w:cs="Arial"/>
          <w:b/>
          <w:bCs/>
          <w:color w:val="000000"/>
        </w:rPr>
        <w:t xml:space="preserve">Visitors: </w:t>
      </w:r>
      <w:r w:rsidR="00DC55DD">
        <w:rPr>
          <w:rFonts w:eastAsia="Calibri" w:cs="Arial"/>
          <w:bCs/>
          <w:color w:val="000000"/>
        </w:rPr>
        <w:t>Linda Schott, Susan Walsh, and Lee Ayers.</w:t>
      </w:r>
    </w:p>
    <w:p w14:paraId="7B3D47F5" w14:textId="77777777" w:rsidR="00DE0103" w:rsidRDefault="00DE0103" w:rsidP="00B67A96">
      <w:pPr>
        <w:rPr>
          <w:b/>
        </w:rPr>
      </w:pPr>
    </w:p>
    <w:p w14:paraId="78FE7983" w14:textId="77777777" w:rsidR="00B67A96" w:rsidRPr="009249C7" w:rsidRDefault="009249C7" w:rsidP="00B67A96">
      <w:pPr>
        <w:rPr>
          <w:b/>
        </w:rPr>
      </w:pPr>
      <w:r w:rsidRPr="009249C7">
        <w:rPr>
          <w:b/>
        </w:rPr>
        <w:t>The meeting was called to order at 4:03p.m.</w:t>
      </w:r>
    </w:p>
    <w:p w14:paraId="55888C00" w14:textId="77777777" w:rsidR="009249C7" w:rsidRPr="009249C7" w:rsidRDefault="009249C7" w:rsidP="00B67A96"/>
    <w:p w14:paraId="726FCE1D" w14:textId="77777777" w:rsidR="00B67A96" w:rsidRPr="009249C7" w:rsidRDefault="00A238F1" w:rsidP="00B67A96">
      <w:pPr>
        <w:rPr>
          <w:b/>
        </w:rPr>
      </w:pPr>
      <w:r w:rsidRPr="009249C7">
        <w:rPr>
          <w:b/>
        </w:rPr>
        <w:t>Adoption of Minutes from June 6, 2016</w:t>
      </w:r>
    </w:p>
    <w:p w14:paraId="464320E0" w14:textId="77777777" w:rsidR="007524F1" w:rsidRDefault="007524F1" w:rsidP="00B67A96">
      <w:r>
        <w:t>Kurutz motioned to approve the June 6 minutes, and Ferguson seconded.  Discussion ensued about minor corrections, and the minutes were approved with all in favor, none opposed.</w:t>
      </w:r>
    </w:p>
    <w:p w14:paraId="18511269" w14:textId="77777777" w:rsidR="007524F1" w:rsidRPr="007524F1" w:rsidRDefault="007524F1" w:rsidP="00B67A96">
      <w:r w:rsidRPr="009249C7">
        <w:rPr>
          <w:b/>
        </w:rPr>
        <w:t>Adoption of Minutes from October 3, 2016</w:t>
      </w:r>
    </w:p>
    <w:p w14:paraId="793C023C" w14:textId="77777777" w:rsidR="00A238F1" w:rsidRDefault="007524F1" w:rsidP="00B67A96">
      <w:r>
        <w:t xml:space="preserve">Ferguson motioned to approve the minutes, and Shrewsbury seconded.  Discussion ensued, and Tveskov noted a correction in the title of his Campus Theme lecture.  The October 3, 2016 minutes were approved with all in favor, none opposed.  </w:t>
      </w:r>
    </w:p>
    <w:p w14:paraId="0E2EAB91" w14:textId="77777777" w:rsidR="007524F1" w:rsidRPr="007524F1" w:rsidRDefault="007524F1" w:rsidP="00B67A96"/>
    <w:p w14:paraId="2F787F37" w14:textId="77777777" w:rsidR="009249C7" w:rsidRPr="00131D3C" w:rsidRDefault="00B67A96" w:rsidP="00B67A96">
      <w:pPr>
        <w:rPr>
          <w:b/>
        </w:rPr>
      </w:pPr>
      <w:r w:rsidRPr="00F22B71">
        <w:rPr>
          <w:b/>
        </w:rPr>
        <w:t xml:space="preserve">President’s </w:t>
      </w:r>
      <w:r w:rsidR="00A238F1" w:rsidRPr="00F22B71">
        <w:rPr>
          <w:b/>
        </w:rPr>
        <w:t>report</w:t>
      </w:r>
      <w:r w:rsidRPr="00F22B71">
        <w:rPr>
          <w:b/>
        </w:rPr>
        <w:t>: Dr. Linda Schott</w:t>
      </w:r>
    </w:p>
    <w:p w14:paraId="3CB53AE5" w14:textId="77777777" w:rsidR="009249C7" w:rsidRPr="009249C7" w:rsidRDefault="009249C7" w:rsidP="009249C7">
      <w:pPr>
        <w:numPr>
          <w:ilvl w:val="0"/>
          <w:numId w:val="3"/>
        </w:numPr>
      </w:pPr>
      <w:r w:rsidRPr="009249C7">
        <w:t xml:space="preserve">Board retreat begins this week. Starts with a dinner on Thursday night.  Board development </w:t>
      </w:r>
      <w:proofErr w:type="gramStart"/>
      <w:r w:rsidRPr="009249C7">
        <w:t>and</w:t>
      </w:r>
      <w:proofErr w:type="gramEnd"/>
      <w:r w:rsidRPr="009249C7">
        <w:t xml:space="preserve"> their role in strategic planning</w:t>
      </w:r>
    </w:p>
    <w:p w14:paraId="0FA13BD6" w14:textId="77777777" w:rsidR="009249C7" w:rsidRPr="009249C7" w:rsidRDefault="009249C7" w:rsidP="00B67A96">
      <w:pPr>
        <w:numPr>
          <w:ilvl w:val="0"/>
          <w:numId w:val="3"/>
        </w:numPr>
      </w:pPr>
      <w:r w:rsidRPr="009249C7">
        <w:t>Two open forums for budget—Wed pm and Fri am (see campus email)</w:t>
      </w:r>
    </w:p>
    <w:p w14:paraId="37812FA6" w14:textId="77777777" w:rsidR="00B67A96" w:rsidRPr="007524F1" w:rsidRDefault="00B67A96" w:rsidP="00B67A96">
      <w:pPr>
        <w:rPr>
          <w:b/>
        </w:rPr>
      </w:pPr>
      <w:r w:rsidRPr="007524F1">
        <w:rPr>
          <w:b/>
        </w:rPr>
        <w:t xml:space="preserve">Provost’s </w:t>
      </w:r>
      <w:r w:rsidR="00A238F1" w:rsidRPr="007524F1">
        <w:rPr>
          <w:b/>
        </w:rPr>
        <w:t>report</w:t>
      </w:r>
      <w:r w:rsidRPr="007524F1">
        <w:rPr>
          <w:b/>
        </w:rPr>
        <w:t>: Dr. Sue Walsh</w:t>
      </w:r>
    </w:p>
    <w:p w14:paraId="720DC1E7" w14:textId="77777777" w:rsidR="009249C7" w:rsidRPr="009249C7" w:rsidRDefault="007524F1" w:rsidP="007524F1">
      <w:pPr>
        <w:numPr>
          <w:ilvl w:val="0"/>
          <w:numId w:val="4"/>
        </w:numPr>
      </w:pPr>
      <w:r>
        <w:t xml:space="preserve">The Accreditation site visit will take place next </w:t>
      </w:r>
      <w:r w:rsidR="009249C7" w:rsidRPr="009249C7">
        <w:t xml:space="preserve">week. They will bring questions and ask to meet with </w:t>
      </w:r>
      <w:r>
        <w:t xml:space="preserve">faculty and staff. Your flexibility and willingness to accommodate their requests to meet is greatly appreciated. </w:t>
      </w:r>
    </w:p>
    <w:p w14:paraId="14D4A984" w14:textId="77777777" w:rsidR="009249C7" w:rsidRDefault="00F22B71" w:rsidP="009249C7">
      <w:pPr>
        <w:numPr>
          <w:ilvl w:val="0"/>
          <w:numId w:val="4"/>
        </w:numPr>
      </w:pPr>
      <w:r>
        <w:t xml:space="preserve">President Schott </w:t>
      </w:r>
      <w:r w:rsidR="007524F1">
        <w:t xml:space="preserve">and Provost Walsh </w:t>
      </w:r>
      <w:r>
        <w:t xml:space="preserve">expressed the administration’s willingness to be flexible in their attendance of Senate meetings.  They will reserve the time on their schedules, but they will be happy to leave if asked.  </w:t>
      </w:r>
    </w:p>
    <w:p w14:paraId="3D77E453" w14:textId="77777777" w:rsidR="00D00F44" w:rsidRPr="009249C7" w:rsidRDefault="00D00F44" w:rsidP="007524F1">
      <w:pPr>
        <w:ind w:left="720"/>
      </w:pPr>
    </w:p>
    <w:p w14:paraId="3B7F26E9" w14:textId="77777777" w:rsidR="009249C7" w:rsidRPr="007524F1" w:rsidRDefault="00B67A96" w:rsidP="00B67A96">
      <w:pPr>
        <w:rPr>
          <w:b/>
        </w:rPr>
      </w:pPr>
      <w:r w:rsidRPr="00F22B71">
        <w:rPr>
          <w:b/>
        </w:rPr>
        <w:t xml:space="preserve">ASSOU President’s </w:t>
      </w:r>
      <w:r w:rsidR="00A238F1" w:rsidRPr="00F22B71">
        <w:rPr>
          <w:b/>
        </w:rPr>
        <w:t>report</w:t>
      </w:r>
      <w:r w:rsidRPr="00F22B71">
        <w:rPr>
          <w:b/>
        </w:rPr>
        <w:t>: Colin Davis</w:t>
      </w:r>
    </w:p>
    <w:p w14:paraId="18047B8F" w14:textId="77777777" w:rsidR="00F22B71" w:rsidRDefault="00F22B71" w:rsidP="009249C7">
      <w:pPr>
        <w:numPr>
          <w:ilvl w:val="0"/>
          <w:numId w:val="5"/>
        </w:numPr>
      </w:pPr>
      <w:r w:rsidRPr="009249C7">
        <w:t xml:space="preserve">Issue-choosing process is complete </w:t>
      </w:r>
    </w:p>
    <w:p w14:paraId="7F04D84A" w14:textId="77777777" w:rsidR="009249C7" w:rsidRPr="009249C7" w:rsidRDefault="009249C7" w:rsidP="009249C7">
      <w:pPr>
        <w:numPr>
          <w:ilvl w:val="0"/>
          <w:numId w:val="5"/>
        </w:numPr>
      </w:pPr>
      <w:r w:rsidRPr="009249C7">
        <w:t xml:space="preserve">Voter registration finishes tomorrow.  </w:t>
      </w:r>
    </w:p>
    <w:p w14:paraId="77EA89B0" w14:textId="77777777" w:rsidR="009249C7" w:rsidRPr="009249C7" w:rsidRDefault="009249C7" w:rsidP="009249C7">
      <w:pPr>
        <w:numPr>
          <w:ilvl w:val="0"/>
          <w:numId w:val="5"/>
        </w:numPr>
      </w:pPr>
      <w:r w:rsidRPr="009249C7">
        <w:t>SOU Food Pantry expansion and relocation.  “Can-O-Treat” for Halloween to build up the pantry’s contents.</w:t>
      </w:r>
    </w:p>
    <w:p w14:paraId="7BB11A0C" w14:textId="77777777" w:rsidR="009249C7" w:rsidRPr="009249C7" w:rsidRDefault="009249C7" w:rsidP="009249C7">
      <w:pPr>
        <w:numPr>
          <w:ilvl w:val="0"/>
          <w:numId w:val="5"/>
        </w:numPr>
      </w:pPr>
      <w:r w:rsidRPr="009249C7">
        <w:t xml:space="preserve">Student Rep on B of T: investment of solar panels for SOU buildings, perhaps use the Green Fund. </w:t>
      </w:r>
    </w:p>
    <w:p w14:paraId="54413AF7" w14:textId="77777777" w:rsidR="009249C7" w:rsidRPr="009249C7" w:rsidRDefault="007524F1" w:rsidP="009249C7">
      <w:pPr>
        <w:numPr>
          <w:ilvl w:val="0"/>
          <w:numId w:val="5"/>
        </w:numPr>
      </w:pPr>
      <w:r>
        <w:t>ASSOU has agreed to support a “</w:t>
      </w:r>
      <w:r w:rsidR="009249C7" w:rsidRPr="009249C7">
        <w:t>Year of Veteran Appreciation</w:t>
      </w:r>
      <w:r>
        <w:t>.”</w:t>
      </w:r>
      <w:r w:rsidR="009249C7" w:rsidRPr="009249C7">
        <w:t xml:space="preserve">  Veterans are looking for </w:t>
      </w:r>
      <w:r>
        <w:t>new, private</w:t>
      </w:r>
      <w:r w:rsidR="009249C7" w:rsidRPr="009249C7">
        <w:t xml:space="preserve"> space and </w:t>
      </w:r>
      <w:r>
        <w:t>hoping to increase</w:t>
      </w:r>
      <w:r w:rsidR="009249C7" w:rsidRPr="009249C7">
        <w:t xml:space="preserve"> recruitment of Veteran students from Medford area.  </w:t>
      </w:r>
    </w:p>
    <w:p w14:paraId="657FF244" w14:textId="77777777" w:rsidR="009249C7" w:rsidRPr="009249C7" w:rsidRDefault="009249C7" w:rsidP="009249C7">
      <w:pPr>
        <w:ind w:left="720"/>
      </w:pPr>
    </w:p>
    <w:p w14:paraId="787E010D" w14:textId="77777777" w:rsidR="00B67A96" w:rsidRDefault="00691E59" w:rsidP="00B67A96">
      <w:r w:rsidRPr="009249C7">
        <w:rPr>
          <w:b/>
        </w:rPr>
        <w:t>IFS report:</w:t>
      </w:r>
      <w:r w:rsidRPr="009249C7">
        <w:t xml:space="preserve"> Amy Belcastro</w:t>
      </w:r>
    </w:p>
    <w:p w14:paraId="14FB5493" w14:textId="77777777" w:rsidR="00F22B71" w:rsidRDefault="00F22B71" w:rsidP="00F22B71">
      <w:pPr>
        <w:numPr>
          <w:ilvl w:val="0"/>
          <w:numId w:val="7"/>
        </w:numPr>
      </w:pPr>
      <w:r>
        <w:t>Belcastro was not in attendance</w:t>
      </w:r>
    </w:p>
    <w:p w14:paraId="08E840D4" w14:textId="77777777" w:rsidR="00F22B71" w:rsidRDefault="00F22B71" w:rsidP="00B67A96"/>
    <w:p w14:paraId="510BCC0C" w14:textId="77777777" w:rsidR="001775CD" w:rsidRPr="009249C7" w:rsidRDefault="001775CD" w:rsidP="00B67A96"/>
    <w:p w14:paraId="4C9FC9B1" w14:textId="77777777" w:rsidR="00A238F1" w:rsidRPr="009249C7" w:rsidRDefault="00A238F1" w:rsidP="00F22B71">
      <w:r w:rsidRPr="009249C7">
        <w:rPr>
          <w:b/>
        </w:rPr>
        <w:lastRenderedPageBreak/>
        <w:t>HECC report:</w:t>
      </w:r>
      <w:r w:rsidRPr="009249C7">
        <w:t xml:space="preserve"> Lee Ayers</w:t>
      </w:r>
    </w:p>
    <w:p w14:paraId="29096345" w14:textId="77777777" w:rsidR="009249C7" w:rsidRDefault="009249C7" w:rsidP="009249C7">
      <w:pPr>
        <w:numPr>
          <w:ilvl w:val="0"/>
          <w:numId w:val="6"/>
        </w:numPr>
      </w:pPr>
      <w:r w:rsidRPr="009249C7">
        <w:t>See handout</w:t>
      </w:r>
    </w:p>
    <w:p w14:paraId="68320AFB" w14:textId="77777777" w:rsidR="00EB678E" w:rsidRDefault="00EB678E" w:rsidP="009249C7">
      <w:pPr>
        <w:numPr>
          <w:ilvl w:val="0"/>
          <w:numId w:val="6"/>
        </w:numPr>
      </w:pPr>
      <w:r>
        <w:t xml:space="preserve">Ayers reported on the last two HECC (Higher Education Coordinating </w:t>
      </w:r>
      <w:r w:rsidR="00E10521" w:rsidRPr="00E10521">
        <w:t>Commi</w:t>
      </w:r>
      <w:r w:rsidRPr="00E10521">
        <w:t>ssion</w:t>
      </w:r>
      <w:r>
        <w:t>) meetings, August and November</w:t>
      </w:r>
    </w:p>
    <w:p w14:paraId="62DC32DF" w14:textId="77777777" w:rsidR="00EB678E" w:rsidRDefault="00EB678E" w:rsidP="009249C7">
      <w:pPr>
        <w:numPr>
          <w:ilvl w:val="0"/>
          <w:numId w:val="6"/>
        </w:numPr>
      </w:pPr>
      <w:r>
        <w:t>Approved Strategic Plan (second for this group)</w:t>
      </w:r>
    </w:p>
    <w:p w14:paraId="3498803C" w14:textId="77777777" w:rsidR="00EB678E" w:rsidRDefault="00EB678E" w:rsidP="00EB678E">
      <w:pPr>
        <w:numPr>
          <w:ilvl w:val="1"/>
          <w:numId w:val="6"/>
        </w:numPr>
      </w:pPr>
      <w:r>
        <w:t>Goal Setting areas including 40/40/20</w:t>
      </w:r>
    </w:p>
    <w:p w14:paraId="597C54DD" w14:textId="77777777" w:rsidR="00EB678E" w:rsidRDefault="00EB678E" w:rsidP="00EB678E">
      <w:pPr>
        <w:numPr>
          <w:ilvl w:val="1"/>
          <w:numId w:val="6"/>
        </w:numPr>
      </w:pPr>
      <w:r>
        <w:t>Public Colleges and University Funding</w:t>
      </w:r>
    </w:p>
    <w:p w14:paraId="11D07EAD" w14:textId="77777777" w:rsidR="00EB678E" w:rsidRDefault="00EB678E" w:rsidP="00EB678E">
      <w:pPr>
        <w:numPr>
          <w:ilvl w:val="1"/>
          <w:numId w:val="6"/>
        </w:numPr>
      </w:pPr>
      <w:r>
        <w:t>Pathways to college (in all forms)</w:t>
      </w:r>
    </w:p>
    <w:p w14:paraId="069864E7" w14:textId="77777777" w:rsidR="00EB678E" w:rsidRDefault="00EB678E" w:rsidP="00EB678E">
      <w:pPr>
        <w:numPr>
          <w:ilvl w:val="1"/>
          <w:numId w:val="6"/>
        </w:numPr>
      </w:pPr>
      <w:r>
        <w:t>POPS—Public Policy Package—includes “big asks” and looks at future possibilities</w:t>
      </w:r>
    </w:p>
    <w:p w14:paraId="1F63B249" w14:textId="77777777" w:rsidR="00F22B71" w:rsidRDefault="00F22B71" w:rsidP="009249C7">
      <w:pPr>
        <w:numPr>
          <w:ilvl w:val="0"/>
          <w:numId w:val="6"/>
        </w:numPr>
      </w:pPr>
      <w:r>
        <w:t>Oregon Opportunity Grant</w:t>
      </w:r>
      <w:r w:rsidR="00EB678E">
        <w:t>--$140 million funded</w:t>
      </w:r>
    </w:p>
    <w:p w14:paraId="4EBB4F1E" w14:textId="77777777" w:rsidR="00F22B71" w:rsidRDefault="00F22B71" w:rsidP="009249C7">
      <w:pPr>
        <w:numPr>
          <w:ilvl w:val="0"/>
          <w:numId w:val="6"/>
        </w:numPr>
      </w:pPr>
      <w:r>
        <w:t>Oregon Promise—second year</w:t>
      </w:r>
      <w:r w:rsidR="00EB678E">
        <w:t xml:space="preserve"> </w:t>
      </w:r>
    </w:p>
    <w:p w14:paraId="02D71F5F" w14:textId="77777777" w:rsidR="00EB678E" w:rsidRDefault="00EB678E" w:rsidP="009249C7">
      <w:pPr>
        <w:numPr>
          <w:ilvl w:val="0"/>
          <w:numId w:val="6"/>
        </w:numPr>
      </w:pPr>
      <w:r>
        <w:t>Still assessing the program—miscommunication still exists</w:t>
      </w:r>
    </w:p>
    <w:p w14:paraId="11DB4174" w14:textId="77777777" w:rsidR="00EB678E" w:rsidRDefault="00EB678E" w:rsidP="000B4A67">
      <w:pPr>
        <w:numPr>
          <w:ilvl w:val="0"/>
          <w:numId w:val="6"/>
        </w:numPr>
      </w:pPr>
      <w:r>
        <w:t>Refer to the HECC’s website for more information</w:t>
      </w:r>
    </w:p>
    <w:p w14:paraId="236AACA0" w14:textId="77777777" w:rsidR="00EB678E" w:rsidRPr="009249C7" w:rsidRDefault="00EB678E" w:rsidP="00EB678E">
      <w:pPr>
        <w:ind w:left="1440"/>
      </w:pPr>
    </w:p>
    <w:p w14:paraId="4E6D4A6B" w14:textId="77777777" w:rsidR="00A238F1" w:rsidRDefault="00A238F1" w:rsidP="00F22B71">
      <w:r w:rsidRPr="009249C7">
        <w:rPr>
          <w:b/>
        </w:rPr>
        <w:t>Advisory Council report:</w:t>
      </w:r>
      <w:r w:rsidRPr="009249C7">
        <w:t xml:space="preserve"> Dennis Jablonski</w:t>
      </w:r>
    </w:p>
    <w:p w14:paraId="51CCD1F9" w14:textId="77777777" w:rsidR="00F22B71" w:rsidRDefault="00F22B71" w:rsidP="00F22B71">
      <w:pPr>
        <w:numPr>
          <w:ilvl w:val="0"/>
          <w:numId w:val="8"/>
        </w:numPr>
      </w:pPr>
      <w:r>
        <w:t>AC discussed several items that will be on future agendas</w:t>
      </w:r>
      <w:r w:rsidR="00EB678E">
        <w:t>:</w:t>
      </w:r>
    </w:p>
    <w:p w14:paraId="39A014E6" w14:textId="77777777" w:rsidR="00F22B71" w:rsidRDefault="00F22B71" w:rsidP="00F22B71">
      <w:pPr>
        <w:numPr>
          <w:ilvl w:val="1"/>
          <w:numId w:val="8"/>
        </w:numPr>
      </w:pPr>
      <w:r>
        <w:t>Electronics in the classroom—is this a concern that Senate should discuss?</w:t>
      </w:r>
    </w:p>
    <w:p w14:paraId="4D4E946B" w14:textId="77777777" w:rsidR="00F22B71" w:rsidRDefault="00F22B71" w:rsidP="00F22B71">
      <w:pPr>
        <w:numPr>
          <w:ilvl w:val="1"/>
          <w:numId w:val="8"/>
        </w:numPr>
      </w:pPr>
      <w:r>
        <w:t xml:space="preserve">Videos of our Senate meetings—who should access those? Should they be campus community only or open to the general public?  We are investigating what other schools do.  </w:t>
      </w:r>
    </w:p>
    <w:p w14:paraId="5AA0B70B" w14:textId="77777777" w:rsidR="00F22B71" w:rsidRDefault="00F22B71" w:rsidP="00F22B71">
      <w:pPr>
        <w:numPr>
          <w:ilvl w:val="1"/>
          <w:numId w:val="8"/>
        </w:numPr>
      </w:pPr>
      <w:r>
        <w:t xml:space="preserve">Should our teaching awards be considered for retired faculty?  </w:t>
      </w:r>
    </w:p>
    <w:p w14:paraId="629B0998" w14:textId="77777777" w:rsidR="00EB678E" w:rsidRPr="009249C7" w:rsidRDefault="00EB678E" w:rsidP="00EB678E">
      <w:pPr>
        <w:ind w:left="1440"/>
      </w:pPr>
    </w:p>
    <w:p w14:paraId="70CBFBEF" w14:textId="77777777" w:rsidR="00A238F1" w:rsidRDefault="00A238F1" w:rsidP="00F22B71">
      <w:r w:rsidRPr="009249C7">
        <w:rPr>
          <w:b/>
        </w:rPr>
        <w:t>Committee on Committees update:</w:t>
      </w:r>
      <w:r w:rsidRPr="009249C7">
        <w:t xml:space="preserve"> Deb Brown</w:t>
      </w:r>
    </w:p>
    <w:p w14:paraId="5C8CF95B" w14:textId="77777777" w:rsidR="00EB678E" w:rsidRPr="00EB678E" w:rsidRDefault="00EB678E" w:rsidP="00F22B71">
      <w:pPr>
        <w:widowControl w:val="0"/>
        <w:autoSpaceDE w:val="0"/>
        <w:autoSpaceDN w:val="0"/>
        <w:adjustRightInd w:val="0"/>
        <w:rPr>
          <w:color w:val="1A1A1A"/>
        </w:rPr>
      </w:pPr>
      <w:r w:rsidRPr="00EB678E">
        <w:rPr>
          <w:color w:val="1A1A1A"/>
        </w:rPr>
        <w:t>The following committees still have openings:</w:t>
      </w:r>
    </w:p>
    <w:p w14:paraId="274709E0" w14:textId="77777777" w:rsidR="00EB678E" w:rsidRDefault="00EB678E" w:rsidP="00F22B71">
      <w:pPr>
        <w:widowControl w:val="0"/>
        <w:autoSpaceDE w:val="0"/>
        <w:autoSpaceDN w:val="0"/>
        <w:adjustRightInd w:val="0"/>
        <w:rPr>
          <w:b/>
          <w:color w:val="1A1A1A"/>
        </w:rPr>
      </w:pPr>
    </w:p>
    <w:p w14:paraId="6B52ACD7" w14:textId="77777777" w:rsidR="00F22B71" w:rsidRPr="00E10521" w:rsidRDefault="00F22B71" w:rsidP="00F22B71">
      <w:pPr>
        <w:widowControl w:val="0"/>
        <w:autoSpaceDE w:val="0"/>
        <w:autoSpaceDN w:val="0"/>
        <w:adjustRightInd w:val="0"/>
        <w:rPr>
          <w:color w:val="1A1A1A"/>
        </w:rPr>
      </w:pPr>
      <w:r w:rsidRPr="00E10521">
        <w:rPr>
          <w:b/>
          <w:color w:val="1A1A1A"/>
        </w:rPr>
        <w:t>Assessment:</w:t>
      </w:r>
      <w:r w:rsidRPr="00E10521">
        <w:rPr>
          <w:color w:val="1A1A1A"/>
        </w:rPr>
        <w:t xml:space="preserve"> 2 Three-Year Terms</w:t>
      </w:r>
    </w:p>
    <w:p w14:paraId="5DBDA578" w14:textId="77777777" w:rsidR="00F22B71" w:rsidRPr="00E10521" w:rsidRDefault="00F22B71" w:rsidP="00F22B71">
      <w:pPr>
        <w:widowControl w:val="0"/>
        <w:autoSpaceDE w:val="0"/>
        <w:autoSpaceDN w:val="0"/>
        <w:adjustRightInd w:val="0"/>
        <w:rPr>
          <w:color w:val="1A1A1A"/>
        </w:rPr>
      </w:pPr>
      <w:r w:rsidRPr="00E10521">
        <w:rPr>
          <w:b/>
          <w:color w:val="1A1A1A"/>
        </w:rPr>
        <w:t>Faculty Development:</w:t>
      </w:r>
      <w:r w:rsidRPr="00E10521">
        <w:rPr>
          <w:color w:val="1A1A1A"/>
        </w:rPr>
        <w:t xml:space="preserve"> 1 Three-Year Term</w:t>
      </w:r>
    </w:p>
    <w:p w14:paraId="4F81E60D" w14:textId="77777777" w:rsidR="00F22B71" w:rsidRPr="00E10521" w:rsidRDefault="00F22B71" w:rsidP="00F22B71">
      <w:pPr>
        <w:widowControl w:val="0"/>
        <w:autoSpaceDE w:val="0"/>
        <w:autoSpaceDN w:val="0"/>
        <w:adjustRightInd w:val="0"/>
        <w:rPr>
          <w:color w:val="1A1A1A"/>
        </w:rPr>
      </w:pPr>
      <w:r w:rsidRPr="00E10521">
        <w:rPr>
          <w:b/>
          <w:color w:val="1A1A1A"/>
        </w:rPr>
        <w:t>Academic Advising: </w:t>
      </w:r>
      <w:r w:rsidRPr="00E10521">
        <w:rPr>
          <w:color w:val="1A1A1A"/>
        </w:rPr>
        <w:t xml:space="preserve"> 3 Three-Year Terms</w:t>
      </w:r>
    </w:p>
    <w:p w14:paraId="45636B6C" w14:textId="77777777" w:rsidR="00F22B71" w:rsidRPr="00E10521" w:rsidRDefault="00F22B71" w:rsidP="00F22B71">
      <w:pPr>
        <w:widowControl w:val="0"/>
        <w:autoSpaceDE w:val="0"/>
        <w:autoSpaceDN w:val="0"/>
        <w:adjustRightInd w:val="0"/>
        <w:rPr>
          <w:color w:val="1A1A1A"/>
        </w:rPr>
      </w:pPr>
      <w:r w:rsidRPr="00E10521">
        <w:rPr>
          <w:b/>
          <w:color w:val="1A1A1A"/>
        </w:rPr>
        <w:t xml:space="preserve">Academic Policies: </w:t>
      </w:r>
      <w:r w:rsidRPr="00E10521">
        <w:rPr>
          <w:color w:val="1A1A1A"/>
        </w:rPr>
        <w:t>2 Two-Year Terms; 2 Three-Year Terms</w:t>
      </w:r>
    </w:p>
    <w:p w14:paraId="121CDAE4" w14:textId="77777777" w:rsidR="00F22B71" w:rsidRPr="00E10521" w:rsidRDefault="00F22B71" w:rsidP="00F22B71">
      <w:pPr>
        <w:widowControl w:val="0"/>
        <w:autoSpaceDE w:val="0"/>
        <w:autoSpaceDN w:val="0"/>
        <w:adjustRightInd w:val="0"/>
        <w:rPr>
          <w:color w:val="1A1A1A"/>
        </w:rPr>
      </w:pPr>
      <w:r w:rsidRPr="00E10521">
        <w:rPr>
          <w:b/>
          <w:color w:val="1A1A1A"/>
        </w:rPr>
        <w:t>Academic Standards:</w:t>
      </w:r>
      <w:r w:rsidRPr="00E10521">
        <w:rPr>
          <w:color w:val="1A1A1A"/>
        </w:rPr>
        <w:t xml:space="preserve"> 3 Two-Year Terms; Four 3-Year Terms</w:t>
      </w:r>
    </w:p>
    <w:p w14:paraId="78060955" w14:textId="77777777" w:rsidR="00F22B71" w:rsidRPr="00E10521" w:rsidRDefault="00F22B71" w:rsidP="00F22B71">
      <w:pPr>
        <w:widowControl w:val="0"/>
        <w:autoSpaceDE w:val="0"/>
        <w:autoSpaceDN w:val="0"/>
        <w:adjustRightInd w:val="0"/>
        <w:rPr>
          <w:color w:val="1A1A1A"/>
        </w:rPr>
      </w:pPr>
      <w:r w:rsidRPr="00E10521">
        <w:rPr>
          <w:b/>
          <w:color w:val="1A1A1A"/>
        </w:rPr>
        <w:t>Financial Aid and Awards:</w:t>
      </w:r>
      <w:r w:rsidRPr="00E10521">
        <w:rPr>
          <w:color w:val="1A1A1A"/>
        </w:rPr>
        <w:t xml:space="preserve"> 3 One-Year Terms; 3 Two-Year Terms; 3 Three-Year Terms</w:t>
      </w:r>
    </w:p>
    <w:p w14:paraId="1AA0FE0A" w14:textId="77777777" w:rsidR="00F22B71" w:rsidRPr="00E10521" w:rsidRDefault="00F22B71" w:rsidP="00F22B71">
      <w:pPr>
        <w:widowControl w:val="0"/>
        <w:autoSpaceDE w:val="0"/>
        <w:autoSpaceDN w:val="0"/>
        <w:adjustRightInd w:val="0"/>
        <w:rPr>
          <w:color w:val="1A1A1A"/>
        </w:rPr>
      </w:pPr>
      <w:r w:rsidRPr="00E10521">
        <w:rPr>
          <w:b/>
          <w:color w:val="1A1A1A"/>
        </w:rPr>
        <w:t>International Affairs Council: </w:t>
      </w:r>
      <w:r w:rsidRPr="00E10521">
        <w:rPr>
          <w:color w:val="1A1A1A"/>
        </w:rPr>
        <w:t xml:space="preserve"> 2 Three-Year Terms</w:t>
      </w:r>
    </w:p>
    <w:p w14:paraId="2D3E785C" w14:textId="77777777" w:rsidR="00F22B71" w:rsidRPr="00EB678E" w:rsidRDefault="00F22B71" w:rsidP="00EB678E">
      <w:pPr>
        <w:widowControl w:val="0"/>
        <w:autoSpaceDE w:val="0"/>
        <w:autoSpaceDN w:val="0"/>
        <w:adjustRightInd w:val="0"/>
        <w:rPr>
          <w:color w:val="1A1A1A"/>
        </w:rPr>
      </w:pPr>
      <w:r w:rsidRPr="00E10521">
        <w:rPr>
          <w:b/>
          <w:color w:val="1A1A1A"/>
        </w:rPr>
        <w:t>Library:</w:t>
      </w:r>
      <w:r w:rsidRPr="00E10521">
        <w:rPr>
          <w:color w:val="1A1A1A"/>
        </w:rPr>
        <w:t xml:space="preserve"> 1 One-Year Term; 1 Three-Year Term</w:t>
      </w:r>
    </w:p>
    <w:p w14:paraId="509C3A23" w14:textId="77777777" w:rsidR="00A238F1" w:rsidRPr="009249C7" w:rsidRDefault="00A238F1" w:rsidP="00B67A96"/>
    <w:p w14:paraId="146F2CF4" w14:textId="77777777" w:rsidR="00A238F1" w:rsidRDefault="00A238F1" w:rsidP="00A238F1">
      <w:pPr>
        <w:rPr>
          <w:b/>
        </w:rPr>
      </w:pPr>
      <w:r w:rsidRPr="00F22B71">
        <w:rPr>
          <w:b/>
        </w:rPr>
        <w:t>Clarification of the two-week rule</w:t>
      </w:r>
    </w:p>
    <w:p w14:paraId="081C5720" w14:textId="77777777" w:rsidR="00C50CB3" w:rsidRDefault="00C50CB3" w:rsidP="00C50CB3">
      <w:pPr>
        <w:numPr>
          <w:ilvl w:val="0"/>
          <w:numId w:val="8"/>
        </w:numPr>
      </w:pPr>
      <w:r>
        <w:t xml:space="preserve">We spend precious time waiving the two-week rule in cases where the issues do not require further information, consideration, or taking back to constituents. </w:t>
      </w:r>
    </w:p>
    <w:p w14:paraId="424708DE" w14:textId="77777777" w:rsidR="00C50CB3" w:rsidRDefault="00C50CB3" w:rsidP="00C50CB3">
      <w:pPr>
        <w:numPr>
          <w:ilvl w:val="0"/>
          <w:numId w:val="8"/>
        </w:numPr>
      </w:pPr>
      <w:r>
        <w:t>Palmer explained that perhaps Advisory Council could “triage” the agenda items.</w:t>
      </w:r>
    </w:p>
    <w:p w14:paraId="3A2C06DD" w14:textId="77777777" w:rsidR="00C50CB3" w:rsidRDefault="00C50CB3" w:rsidP="00EB678E">
      <w:pPr>
        <w:numPr>
          <w:ilvl w:val="1"/>
          <w:numId w:val="8"/>
        </w:numPr>
      </w:pPr>
      <w:r>
        <w:t>Changing course names</w:t>
      </w:r>
      <w:r w:rsidR="00EB678E">
        <w:t xml:space="preserve"> and approving </w:t>
      </w:r>
      <w:r>
        <w:t>Carpenter Grant Approvals</w:t>
      </w:r>
      <w:r w:rsidR="00EB678E">
        <w:t xml:space="preserve"> are examples of items that might not require lengthy discussion. </w:t>
      </w:r>
    </w:p>
    <w:p w14:paraId="46101A6F" w14:textId="77777777" w:rsidR="00237E93" w:rsidRPr="009249C7" w:rsidRDefault="00237E93" w:rsidP="00A238F1"/>
    <w:p w14:paraId="72D2FF78" w14:textId="77777777" w:rsidR="00A238F1" w:rsidRDefault="00A238F1" w:rsidP="00A238F1">
      <w:pPr>
        <w:rPr>
          <w:b/>
        </w:rPr>
      </w:pPr>
      <w:r w:rsidRPr="00C50CB3">
        <w:rPr>
          <w:b/>
        </w:rPr>
        <w:t>Clarification of the Consent Agenda process</w:t>
      </w:r>
    </w:p>
    <w:p w14:paraId="239F950F" w14:textId="77777777" w:rsidR="00C50CB3" w:rsidRDefault="00C50CB3" w:rsidP="00C50CB3">
      <w:pPr>
        <w:numPr>
          <w:ilvl w:val="0"/>
          <w:numId w:val="9"/>
        </w:numPr>
      </w:pPr>
      <w:r>
        <w:t>Palmer cites the practice in municipalities of placi</w:t>
      </w:r>
      <w:r w:rsidR="002E468D">
        <w:t xml:space="preserve">ng issues on a “Consent Agenda.”  If anyone objects to issues, those are moved to the regular agenda.  </w:t>
      </w:r>
    </w:p>
    <w:p w14:paraId="3C261AAB" w14:textId="77777777" w:rsidR="002E468D" w:rsidRDefault="002E468D" w:rsidP="00C50CB3">
      <w:pPr>
        <w:numPr>
          <w:ilvl w:val="0"/>
          <w:numId w:val="9"/>
        </w:numPr>
      </w:pPr>
      <w:proofErr w:type="spellStart"/>
      <w:r>
        <w:t>Tutunov</w:t>
      </w:r>
      <w:proofErr w:type="spellEnd"/>
      <w:r>
        <w:t xml:space="preserve"> asked about historic reasoning for the two-week rule.  </w:t>
      </w:r>
    </w:p>
    <w:p w14:paraId="1CD9F122" w14:textId="77777777" w:rsidR="002E468D" w:rsidRDefault="002E468D" w:rsidP="00C50CB3">
      <w:pPr>
        <w:numPr>
          <w:ilvl w:val="0"/>
          <w:numId w:val="9"/>
        </w:numPr>
      </w:pPr>
      <w:r>
        <w:t xml:space="preserve">Tveskov suggested that AC use their own judgment to make those decisions, without a list of criteria. </w:t>
      </w:r>
    </w:p>
    <w:p w14:paraId="7004651D" w14:textId="77777777" w:rsidR="002E468D" w:rsidRDefault="00EB678E" w:rsidP="00C50CB3">
      <w:pPr>
        <w:numPr>
          <w:ilvl w:val="0"/>
          <w:numId w:val="9"/>
        </w:numPr>
      </w:pPr>
      <w:r>
        <w:t xml:space="preserve">Palmer suggests that we </w:t>
      </w:r>
      <w:r w:rsidR="002E468D">
        <w:t>give more weight to the recommendation of committees.</w:t>
      </w:r>
    </w:p>
    <w:p w14:paraId="73A7F97A" w14:textId="77777777" w:rsidR="002E468D" w:rsidRDefault="002E468D" w:rsidP="00C50CB3">
      <w:pPr>
        <w:numPr>
          <w:ilvl w:val="0"/>
          <w:numId w:val="9"/>
        </w:numPr>
      </w:pPr>
      <w:r>
        <w:t>Perhaps if we give more weight to committees and honor their work, we will get more representation from our faculty. Kurutz</w:t>
      </w:r>
    </w:p>
    <w:p w14:paraId="0E1AA58D" w14:textId="77777777" w:rsidR="002E468D" w:rsidRDefault="002E468D" w:rsidP="00C50CB3">
      <w:pPr>
        <w:numPr>
          <w:ilvl w:val="0"/>
          <w:numId w:val="9"/>
        </w:numPr>
      </w:pPr>
      <w:r>
        <w:lastRenderedPageBreak/>
        <w:t>Ferguson acknowledges that Senate should not simply approve committee recommendations without question.</w:t>
      </w:r>
    </w:p>
    <w:p w14:paraId="2F4DB8D0" w14:textId="77777777" w:rsidR="002E468D" w:rsidRDefault="002E468D" w:rsidP="00C50CB3">
      <w:pPr>
        <w:numPr>
          <w:ilvl w:val="0"/>
          <w:numId w:val="9"/>
        </w:numPr>
      </w:pPr>
      <w:r>
        <w:t xml:space="preserve">Gay suggested that by placing all committee recommendations on the Consent Agenda, it might empower Senate to choose the issues they want to discuss further. </w:t>
      </w:r>
    </w:p>
    <w:p w14:paraId="53B7CBF1" w14:textId="77777777" w:rsidR="002E468D" w:rsidRDefault="002E468D" w:rsidP="00C50CB3">
      <w:pPr>
        <w:numPr>
          <w:ilvl w:val="0"/>
          <w:numId w:val="9"/>
        </w:numPr>
      </w:pPr>
      <w:r>
        <w:t xml:space="preserve">Ayers explained that in previous years, Senate has set goals to work on throughout the year.  Speakers were then invited when Senate needed additional information. </w:t>
      </w:r>
    </w:p>
    <w:p w14:paraId="4D17C839" w14:textId="77777777" w:rsidR="00E63787" w:rsidRDefault="00E63787" w:rsidP="00C50CB3">
      <w:pPr>
        <w:numPr>
          <w:ilvl w:val="0"/>
          <w:numId w:val="9"/>
        </w:numPr>
      </w:pPr>
      <w:r>
        <w:t xml:space="preserve">Rosenberg suggested piloting the Consent Agenda next time. </w:t>
      </w:r>
    </w:p>
    <w:p w14:paraId="24690D39" w14:textId="77777777" w:rsidR="00E63787" w:rsidRPr="00C50CB3" w:rsidRDefault="00E63787" w:rsidP="00C50CB3">
      <w:pPr>
        <w:numPr>
          <w:ilvl w:val="0"/>
          <w:numId w:val="9"/>
        </w:numPr>
      </w:pPr>
      <w:r>
        <w:t>Palmer asked that we leave five minutes at the end of the meeting to debrief—how did it work?</w:t>
      </w:r>
    </w:p>
    <w:p w14:paraId="6D2D075D" w14:textId="77777777" w:rsidR="00237E93" w:rsidRPr="009249C7" w:rsidRDefault="00237E93" w:rsidP="00A238F1"/>
    <w:p w14:paraId="73807BCF" w14:textId="77777777" w:rsidR="00546DEC" w:rsidRDefault="00A238F1" w:rsidP="00A238F1">
      <w:pPr>
        <w:rPr>
          <w:b/>
        </w:rPr>
      </w:pPr>
      <w:r w:rsidRPr="002E468D">
        <w:rPr>
          <w:b/>
        </w:rPr>
        <w:t>Preferences for Administrative presence at Senate</w:t>
      </w:r>
    </w:p>
    <w:p w14:paraId="231AAC50" w14:textId="77777777" w:rsidR="00E63787" w:rsidRDefault="00E63787" w:rsidP="00E63787">
      <w:pPr>
        <w:numPr>
          <w:ilvl w:val="0"/>
          <w:numId w:val="10"/>
        </w:numPr>
      </w:pPr>
      <w:r>
        <w:t>When would we like administrators to be (or not to be) present?</w:t>
      </w:r>
    </w:p>
    <w:p w14:paraId="51513322" w14:textId="77777777" w:rsidR="00E63787" w:rsidRDefault="00E63787" w:rsidP="00E63787">
      <w:pPr>
        <w:numPr>
          <w:ilvl w:val="0"/>
          <w:numId w:val="10"/>
        </w:numPr>
      </w:pPr>
      <w:r>
        <w:t>Ferguson reiterated that our current administration was open to the sensitive nature of staying for the entire meeting, especially when topics might be uncomfortable.</w:t>
      </w:r>
    </w:p>
    <w:p w14:paraId="3323706D" w14:textId="77777777" w:rsidR="00E63787" w:rsidRDefault="00E63787" w:rsidP="00E63787">
      <w:pPr>
        <w:numPr>
          <w:ilvl w:val="0"/>
          <w:numId w:val="10"/>
        </w:numPr>
      </w:pPr>
      <w:r>
        <w:t xml:space="preserve">Kurutz suggested that we set up an expectation that the administrators leave after their reports and any information items that we need their input. </w:t>
      </w:r>
    </w:p>
    <w:p w14:paraId="719CCD9A" w14:textId="77777777" w:rsidR="00E63787" w:rsidRDefault="00E63787" w:rsidP="00E63787">
      <w:pPr>
        <w:numPr>
          <w:ilvl w:val="0"/>
          <w:numId w:val="10"/>
        </w:numPr>
      </w:pPr>
      <w:r>
        <w:t xml:space="preserve">Jablonski suggested that we might learn more about the President (and she would learn from us), from our meetings.  </w:t>
      </w:r>
    </w:p>
    <w:p w14:paraId="27887C24" w14:textId="77777777" w:rsidR="00E63787" w:rsidRDefault="00E63787" w:rsidP="00E63787">
      <w:pPr>
        <w:numPr>
          <w:ilvl w:val="0"/>
          <w:numId w:val="10"/>
        </w:numPr>
      </w:pPr>
      <w:r>
        <w:t xml:space="preserve">Tveskov values the face-to-face contact between faculty and administration. </w:t>
      </w:r>
    </w:p>
    <w:p w14:paraId="3A0F39D6" w14:textId="77777777" w:rsidR="00E63787" w:rsidRDefault="00E63787" w:rsidP="00E63787">
      <w:pPr>
        <w:numPr>
          <w:ilvl w:val="0"/>
          <w:numId w:val="10"/>
        </w:numPr>
      </w:pPr>
      <w:r>
        <w:t xml:space="preserve">Jablonski reminds us that even though administrators might not be present, they still have full access to the video taped recordings of the meetings.  </w:t>
      </w:r>
    </w:p>
    <w:p w14:paraId="752A8887" w14:textId="77777777" w:rsidR="00191BCC" w:rsidRDefault="00191BCC" w:rsidP="00131D3C">
      <w:pPr>
        <w:numPr>
          <w:ilvl w:val="0"/>
          <w:numId w:val="10"/>
        </w:numPr>
      </w:pPr>
      <w:r>
        <w:t>Rosenberg recapped the discussion—we will suggest that they will always be present from 4:00 to 4:30, with additional time if necessary.</w:t>
      </w:r>
    </w:p>
    <w:p w14:paraId="7BC48F50" w14:textId="77777777" w:rsidR="001775CD" w:rsidRDefault="001775CD" w:rsidP="00191BCC">
      <w:pPr>
        <w:rPr>
          <w:b/>
        </w:rPr>
      </w:pPr>
    </w:p>
    <w:p w14:paraId="3EBADC09" w14:textId="77777777" w:rsidR="00191BCC" w:rsidRPr="00191BCC" w:rsidRDefault="00191BCC" w:rsidP="00191BCC">
      <w:pPr>
        <w:rPr>
          <w:b/>
        </w:rPr>
      </w:pPr>
      <w:r w:rsidRPr="00191BCC">
        <w:rPr>
          <w:b/>
        </w:rPr>
        <w:t>Access to Senate Videos</w:t>
      </w:r>
    </w:p>
    <w:p w14:paraId="2198155F" w14:textId="77777777" w:rsidR="00191BCC" w:rsidRDefault="00191BCC" w:rsidP="00191BCC">
      <w:pPr>
        <w:numPr>
          <w:ilvl w:val="0"/>
          <w:numId w:val="11"/>
        </w:numPr>
      </w:pPr>
      <w:r>
        <w:t xml:space="preserve">With change to Inside SOU website, the Senate meeting video recordings have now become open only to campus community who have an SOU login. </w:t>
      </w:r>
    </w:p>
    <w:p w14:paraId="627897A8" w14:textId="77777777" w:rsidR="00191BCC" w:rsidRDefault="00191BCC" w:rsidP="00191BCC">
      <w:pPr>
        <w:numPr>
          <w:ilvl w:val="0"/>
          <w:numId w:val="11"/>
        </w:numPr>
      </w:pPr>
      <w:r>
        <w:t xml:space="preserve">Chenjeri </w:t>
      </w:r>
      <w:proofErr w:type="gramStart"/>
      <w:r>
        <w:t>noted</w:t>
      </w:r>
      <w:proofErr w:type="gramEnd"/>
      <w:r>
        <w:t xml:space="preserve"> </w:t>
      </w:r>
      <w:proofErr w:type="gramStart"/>
      <w:r>
        <w:t>that we need</w:t>
      </w:r>
      <w:proofErr w:type="gramEnd"/>
      <w:r>
        <w:t xml:space="preserve"> to define “the public.”  As a state public institution, we should report to the public of Oregon.  </w:t>
      </w:r>
    </w:p>
    <w:p w14:paraId="475EE012" w14:textId="77777777" w:rsidR="00191BCC" w:rsidRDefault="00191BCC" w:rsidP="00191BCC">
      <w:pPr>
        <w:numPr>
          <w:ilvl w:val="0"/>
          <w:numId w:val="11"/>
        </w:numPr>
      </w:pPr>
      <w:r>
        <w:t xml:space="preserve">Palmer is happy to have meetings open to the larger public.  It would be transparent.  </w:t>
      </w:r>
    </w:p>
    <w:p w14:paraId="1DC6FCCA" w14:textId="77777777" w:rsidR="00191BCC" w:rsidRDefault="00191BCC" w:rsidP="00191BCC">
      <w:pPr>
        <w:numPr>
          <w:ilvl w:val="0"/>
          <w:numId w:val="11"/>
        </w:numPr>
      </w:pPr>
      <w:r>
        <w:t xml:space="preserve">Burke observed that the general public </w:t>
      </w:r>
      <w:proofErr w:type="gramStart"/>
      <w:r>
        <w:t>may</w:t>
      </w:r>
      <w:proofErr w:type="gramEnd"/>
      <w:r>
        <w:t xml:space="preserve"> need access to Senate meetings in order to bring issues to our governing board.  </w:t>
      </w:r>
    </w:p>
    <w:p w14:paraId="75DC9A96" w14:textId="77777777" w:rsidR="00191BCC" w:rsidRDefault="007808A1" w:rsidP="00191BCC">
      <w:pPr>
        <w:numPr>
          <w:ilvl w:val="0"/>
          <w:numId w:val="11"/>
        </w:numPr>
      </w:pPr>
      <w:proofErr w:type="spellStart"/>
      <w:r>
        <w:t>Tutunov</w:t>
      </w:r>
      <w:proofErr w:type="spellEnd"/>
      <w:r>
        <w:t xml:space="preserve"> expressed frustration with the need to login to access faculty information.  </w:t>
      </w:r>
    </w:p>
    <w:p w14:paraId="2B235817" w14:textId="77777777" w:rsidR="007808A1" w:rsidRPr="00E63787" w:rsidRDefault="007808A1" w:rsidP="00EB678E">
      <w:pPr>
        <w:numPr>
          <w:ilvl w:val="0"/>
          <w:numId w:val="11"/>
        </w:numPr>
      </w:pPr>
      <w:r>
        <w:t>Ferguson recapped our discussion: do we want to restrict access to Faculty Senate meeting recordings to our SOU community (with a login) or open it up to the general public.</w:t>
      </w:r>
    </w:p>
    <w:p w14:paraId="05F73DE8" w14:textId="77777777" w:rsidR="00546DEC" w:rsidRPr="009249C7" w:rsidRDefault="00546DEC" w:rsidP="00A238F1"/>
    <w:p w14:paraId="790E8EB2" w14:textId="77777777" w:rsidR="00A238F1" w:rsidRDefault="00546DEC" w:rsidP="00B67A96">
      <w:pPr>
        <w:rPr>
          <w:b/>
        </w:rPr>
      </w:pPr>
      <w:r w:rsidRPr="002E468D">
        <w:rPr>
          <w:b/>
        </w:rPr>
        <w:t>Reminder of deadlines for Teaching and Service awards</w:t>
      </w:r>
    </w:p>
    <w:p w14:paraId="3E854351" w14:textId="77777777" w:rsidR="007808A1" w:rsidRDefault="007808A1" w:rsidP="007808A1">
      <w:pPr>
        <w:numPr>
          <w:ilvl w:val="0"/>
          <w:numId w:val="12"/>
        </w:numPr>
      </w:pPr>
      <w:r>
        <w:t xml:space="preserve">Please make sure to be clear about what award you are nominating folks for.  </w:t>
      </w:r>
    </w:p>
    <w:p w14:paraId="19744F9F" w14:textId="77777777" w:rsidR="007808A1" w:rsidRPr="007808A1" w:rsidRDefault="007808A1" w:rsidP="00EB678E">
      <w:pPr>
        <w:numPr>
          <w:ilvl w:val="0"/>
          <w:numId w:val="12"/>
        </w:numPr>
      </w:pPr>
      <w:r>
        <w:t>Nominations are coming in now.</w:t>
      </w:r>
    </w:p>
    <w:p w14:paraId="1E1F4E65" w14:textId="77777777" w:rsidR="00546DEC" w:rsidRPr="002E468D" w:rsidRDefault="00546DEC" w:rsidP="00B67A96">
      <w:pPr>
        <w:rPr>
          <w:b/>
        </w:rPr>
      </w:pPr>
    </w:p>
    <w:p w14:paraId="320F450B" w14:textId="77777777" w:rsidR="00B67A96" w:rsidRPr="002E468D" w:rsidRDefault="00B67A96" w:rsidP="00B67A96">
      <w:pPr>
        <w:rPr>
          <w:b/>
        </w:rPr>
      </w:pPr>
      <w:r w:rsidRPr="002E468D">
        <w:rPr>
          <w:b/>
        </w:rPr>
        <w:t>Announcements</w:t>
      </w:r>
    </w:p>
    <w:p w14:paraId="0ED8945C" w14:textId="77777777" w:rsidR="00B67A96" w:rsidRPr="00D00F44" w:rsidRDefault="007808A1" w:rsidP="007808A1">
      <w:pPr>
        <w:numPr>
          <w:ilvl w:val="0"/>
          <w:numId w:val="13"/>
        </w:numPr>
      </w:pPr>
      <w:r w:rsidRPr="00D00F44">
        <w:t>Burke asked that Chairs turn in their class caps</w:t>
      </w:r>
    </w:p>
    <w:p w14:paraId="25C04D56" w14:textId="77777777" w:rsidR="004A3AC8" w:rsidRPr="00D00F44" w:rsidRDefault="004A3AC8" w:rsidP="00131D3C">
      <w:pPr>
        <w:numPr>
          <w:ilvl w:val="0"/>
          <w:numId w:val="13"/>
        </w:numPr>
      </w:pPr>
      <w:r>
        <w:t xml:space="preserve">Chenjeri announced the next Campus Theme lecture will be held </w:t>
      </w:r>
      <w:r w:rsidR="007808A1" w:rsidRPr="00D00F44">
        <w:t xml:space="preserve">October 26, </w:t>
      </w:r>
      <w:r>
        <w:t xml:space="preserve">when </w:t>
      </w:r>
      <w:r w:rsidR="007808A1" w:rsidRPr="00D00F44">
        <w:t xml:space="preserve">Mark Tveskov </w:t>
      </w:r>
      <w:r>
        <w:t xml:space="preserve">will present “The Ordeal and Redemption of Christina </w:t>
      </w:r>
      <w:proofErr w:type="spellStart"/>
      <w:r>
        <w:t>Giesel</w:t>
      </w:r>
      <w:proofErr w:type="spellEnd"/>
      <w:r>
        <w:t xml:space="preserve"> and Mary Harris: The Rogue River War and Or</w:t>
      </w:r>
      <w:r w:rsidR="00131D3C">
        <w:t xml:space="preserve">egon’s Own Captivity Narratives” at </w:t>
      </w:r>
      <w:r w:rsidR="007808A1" w:rsidRPr="00D00F44">
        <w:t xml:space="preserve">7:00 p.m. </w:t>
      </w:r>
      <w:r>
        <w:t>in the Meese Auditorium.</w:t>
      </w:r>
    </w:p>
    <w:p w14:paraId="5D63B3C2" w14:textId="77777777" w:rsidR="00B67A96" w:rsidRDefault="00131D3C" w:rsidP="00B67A96">
      <w:pPr>
        <w:ind w:left="720" w:hanging="720"/>
        <w:rPr>
          <w:b/>
        </w:rPr>
      </w:pPr>
      <w:r>
        <w:rPr>
          <w:b/>
        </w:rPr>
        <w:t>New Business</w:t>
      </w:r>
    </w:p>
    <w:p w14:paraId="54F3F94F" w14:textId="77777777" w:rsidR="00131D3C" w:rsidRDefault="007808A1" w:rsidP="00B67A96">
      <w:r w:rsidRPr="00C133BD">
        <w:t xml:space="preserve">No new business was </w:t>
      </w:r>
      <w:r w:rsidR="00C133BD" w:rsidRPr="00C133BD">
        <w:t xml:space="preserve">brought forth. </w:t>
      </w:r>
    </w:p>
    <w:p w14:paraId="2EB031C1" w14:textId="77777777" w:rsidR="00B67A96" w:rsidRPr="00131D3C" w:rsidRDefault="00B67A96" w:rsidP="00B67A96">
      <w:r w:rsidRPr="002E468D">
        <w:rPr>
          <w:b/>
        </w:rPr>
        <w:t>Adjourn</w:t>
      </w:r>
      <w:r w:rsidR="00691E59" w:rsidRPr="002E468D">
        <w:rPr>
          <w:b/>
        </w:rPr>
        <w:t>ment</w:t>
      </w:r>
    </w:p>
    <w:p w14:paraId="38717BBA" w14:textId="77777777" w:rsidR="009249C7" w:rsidRPr="009249C7" w:rsidRDefault="007808A1" w:rsidP="009249C7">
      <w:pPr>
        <w:rPr>
          <w:color w:val="000000"/>
          <w:sz w:val="32"/>
        </w:rPr>
      </w:pPr>
      <w:r>
        <w:t xml:space="preserve">The meeting was adjourned at </w:t>
      </w:r>
      <w:r w:rsidR="00C133BD">
        <w:t>5:22</w:t>
      </w:r>
    </w:p>
    <w:sectPr w:rsidR="009249C7" w:rsidRPr="009249C7" w:rsidSect="00236212">
      <w:pgSz w:w="12240" w:h="15840"/>
      <w:pgMar w:top="720" w:right="990" w:bottom="450" w:left="1440" w:header="108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595CB" w14:textId="77777777" w:rsidR="002277CC" w:rsidRDefault="002277CC" w:rsidP="009E4DE2">
      <w:r>
        <w:separator/>
      </w:r>
    </w:p>
  </w:endnote>
  <w:endnote w:type="continuationSeparator" w:id="0">
    <w:p w14:paraId="373FF8A1" w14:textId="77777777" w:rsidR="002277CC" w:rsidRDefault="002277CC" w:rsidP="009E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45467" w14:textId="77777777" w:rsidR="002277CC" w:rsidRDefault="002277CC" w:rsidP="009E4DE2">
      <w:r>
        <w:separator/>
      </w:r>
    </w:p>
  </w:footnote>
  <w:footnote w:type="continuationSeparator" w:id="0">
    <w:p w14:paraId="3BE69B95" w14:textId="77777777" w:rsidR="002277CC" w:rsidRDefault="002277CC" w:rsidP="009E4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EA8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7F080C"/>
    <w:multiLevelType w:val="hybridMultilevel"/>
    <w:tmpl w:val="D5B2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F2699"/>
    <w:multiLevelType w:val="hybridMultilevel"/>
    <w:tmpl w:val="05504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0346BE"/>
    <w:multiLevelType w:val="hybridMultilevel"/>
    <w:tmpl w:val="7666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61581"/>
    <w:multiLevelType w:val="hybridMultilevel"/>
    <w:tmpl w:val="36F0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34663"/>
    <w:multiLevelType w:val="hybridMultilevel"/>
    <w:tmpl w:val="2348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3049B"/>
    <w:multiLevelType w:val="hybridMultilevel"/>
    <w:tmpl w:val="D7C4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84E98"/>
    <w:multiLevelType w:val="hybridMultilevel"/>
    <w:tmpl w:val="A68A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F64F9"/>
    <w:multiLevelType w:val="hybridMultilevel"/>
    <w:tmpl w:val="D00A9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B3E84"/>
    <w:multiLevelType w:val="hybridMultilevel"/>
    <w:tmpl w:val="369090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EFB7E8D"/>
    <w:multiLevelType w:val="hybridMultilevel"/>
    <w:tmpl w:val="6ABE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35F09"/>
    <w:multiLevelType w:val="hybridMultilevel"/>
    <w:tmpl w:val="63FC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20C4F"/>
    <w:multiLevelType w:val="hybridMultilevel"/>
    <w:tmpl w:val="B3009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D1D37"/>
    <w:multiLevelType w:val="hybridMultilevel"/>
    <w:tmpl w:val="7DC2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1"/>
  </w:num>
  <w:num w:numId="5">
    <w:abstractNumId w:val="7"/>
  </w:num>
  <w:num w:numId="6">
    <w:abstractNumId w:val="2"/>
  </w:num>
  <w:num w:numId="7">
    <w:abstractNumId w:val="12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04"/>
    <w:rsid w:val="00052A90"/>
    <w:rsid w:val="00067757"/>
    <w:rsid w:val="00096E65"/>
    <w:rsid w:val="000B4A67"/>
    <w:rsid w:val="000F47CF"/>
    <w:rsid w:val="00121D3A"/>
    <w:rsid w:val="00124748"/>
    <w:rsid w:val="00131D3C"/>
    <w:rsid w:val="00132656"/>
    <w:rsid w:val="001647C1"/>
    <w:rsid w:val="001653CE"/>
    <w:rsid w:val="00171A53"/>
    <w:rsid w:val="001775CD"/>
    <w:rsid w:val="00191BCC"/>
    <w:rsid w:val="001C26CB"/>
    <w:rsid w:val="001D344F"/>
    <w:rsid w:val="002277CC"/>
    <w:rsid w:val="00236212"/>
    <w:rsid w:val="00237E93"/>
    <w:rsid w:val="002419DB"/>
    <w:rsid w:val="00246648"/>
    <w:rsid w:val="00253589"/>
    <w:rsid w:val="00253C2C"/>
    <w:rsid w:val="002649DA"/>
    <w:rsid w:val="002765C2"/>
    <w:rsid w:val="00287E63"/>
    <w:rsid w:val="002D642C"/>
    <w:rsid w:val="002E468D"/>
    <w:rsid w:val="003279DD"/>
    <w:rsid w:val="00351811"/>
    <w:rsid w:val="00353C79"/>
    <w:rsid w:val="0039721A"/>
    <w:rsid w:val="003A34EC"/>
    <w:rsid w:val="003B7929"/>
    <w:rsid w:val="003F33F6"/>
    <w:rsid w:val="00403A89"/>
    <w:rsid w:val="004143D4"/>
    <w:rsid w:val="00436CED"/>
    <w:rsid w:val="00466253"/>
    <w:rsid w:val="00471967"/>
    <w:rsid w:val="004A223C"/>
    <w:rsid w:val="004A3AC8"/>
    <w:rsid w:val="004B2302"/>
    <w:rsid w:val="004B7D11"/>
    <w:rsid w:val="004D1B26"/>
    <w:rsid w:val="004F292D"/>
    <w:rsid w:val="00501305"/>
    <w:rsid w:val="005174D9"/>
    <w:rsid w:val="0054556C"/>
    <w:rsid w:val="00546DEC"/>
    <w:rsid w:val="00547370"/>
    <w:rsid w:val="00564221"/>
    <w:rsid w:val="0057365E"/>
    <w:rsid w:val="0058190E"/>
    <w:rsid w:val="00583DA9"/>
    <w:rsid w:val="00586DBC"/>
    <w:rsid w:val="005A4514"/>
    <w:rsid w:val="005A74DF"/>
    <w:rsid w:val="005B71D3"/>
    <w:rsid w:val="005C7EB6"/>
    <w:rsid w:val="005D66DE"/>
    <w:rsid w:val="005E4381"/>
    <w:rsid w:val="005E593B"/>
    <w:rsid w:val="006059C2"/>
    <w:rsid w:val="0060627F"/>
    <w:rsid w:val="00606B1D"/>
    <w:rsid w:val="0061096F"/>
    <w:rsid w:val="00617B79"/>
    <w:rsid w:val="00626B6C"/>
    <w:rsid w:val="00643738"/>
    <w:rsid w:val="00657A8C"/>
    <w:rsid w:val="00673418"/>
    <w:rsid w:val="00691E59"/>
    <w:rsid w:val="006C2FA9"/>
    <w:rsid w:val="006C3770"/>
    <w:rsid w:val="006F12C4"/>
    <w:rsid w:val="00734EBF"/>
    <w:rsid w:val="007524F1"/>
    <w:rsid w:val="0075567F"/>
    <w:rsid w:val="00766B68"/>
    <w:rsid w:val="00777D36"/>
    <w:rsid w:val="007808A1"/>
    <w:rsid w:val="0078373C"/>
    <w:rsid w:val="007B538E"/>
    <w:rsid w:val="007C7373"/>
    <w:rsid w:val="007D7E60"/>
    <w:rsid w:val="008048EC"/>
    <w:rsid w:val="008725DB"/>
    <w:rsid w:val="0087550E"/>
    <w:rsid w:val="008E02A4"/>
    <w:rsid w:val="008E524E"/>
    <w:rsid w:val="008E5684"/>
    <w:rsid w:val="00901495"/>
    <w:rsid w:val="00912C73"/>
    <w:rsid w:val="00913478"/>
    <w:rsid w:val="009218C6"/>
    <w:rsid w:val="009249C7"/>
    <w:rsid w:val="00925FF6"/>
    <w:rsid w:val="009344AC"/>
    <w:rsid w:val="00940651"/>
    <w:rsid w:val="009412FA"/>
    <w:rsid w:val="00961943"/>
    <w:rsid w:val="00996468"/>
    <w:rsid w:val="009B71B3"/>
    <w:rsid w:val="009E13A0"/>
    <w:rsid w:val="009E44A6"/>
    <w:rsid w:val="009E46C2"/>
    <w:rsid w:val="009E4DE2"/>
    <w:rsid w:val="00A238F1"/>
    <w:rsid w:val="00A30A2E"/>
    <w:rsid w:val="00A32447"/>
    <w:rsid w:val="00A72F50"/>
    <w:rsid w:val="00A80B43"/>
    <w:rsid w:val="00A91D7E"/>
    <w:rsid w:val="00AA316F"/>
    <w:rsid w:val="00AB2432"/>
    <w:rsid w:val="00AB3C72"/>
    <w:rsid w:val="00AC7048"/>
    <w:rsid w:val="00AD2E9D"/>
    <w:rsid w:val="00AF2312"/>
    <w:rsid w:val="00B03F1D"/>
    <w:rsid w:val="00B05CEE"/>
    <w:rsid w:val="00B3303E"/>
    <w:rsid w:val="00B34BA6"/>
    <w:rsid w:val="00B536CE"/>
    <w:rsid w:val="00B67A96"/>
    <w:rsid w:val="00B714C5"/>
    <w:rsid w:val="00B95A1F"/>
    <w:rsid w:val="00BC2843"/>
    <w:rsid w:val="00BD7ED6"/>
    <w:rsid w:val="00C01A09"/>
    <w:rsid w:val="00C133BD"/>
    <w:rsid w:val="00C1789F"/>
    <w:rsid w:val="00C42604"/>
    <w:rsid w:val="00C50CB3"/>
    <w:rsid w:val="00C512B5"/>
    <w:rsid w:val="00C63BF0"/>
    <w:rsid w:val="00C81A1B"/>
    <w:rsid w:val="00CA6794"/>
    <w:rsid w:val="00CC14A7"/>
    <w:rsid w:val="00CD0569"/>
    <w:rsid w:val="00CE6C0A"/>
    <w:rsid w:val="00D00F44"/>
    <w:rsid w:val="00D22661"/>
    <w:rsid w:val="00D23CBB"/>
    <w:rsid w:val="00D540F6"/>
    <w:rsid w:val="00D83043"/>
    <w:rsid w:val="00D8347D"/>
    <w:rsid w:val="00D94735"/>
    <w:rsid w:val="00DA3EF8"/>
    <w:rsid w:val="00DC55DD"/>
    <w:rsid w:val="00DE0103"/>
    <w:rsid w:val="00E01D23"/>
    <w:rsid w:val="00E10521"/>
    <w:rsid w:val="00E1503C"/>
    <w:rsid w:val="00E23072"/>
    <w:rsid w:val="00E44914"/>
    <w:rsid w:val="00E63787"/>
    <w:rsid w:val="00E81CE1"/>
    <w:rsid w:val="00E95802"/>
    <w:rsid w:val="00EB13B1"/>
    <w:rsid w:val="00EB678E"/>
    <w:rsid w:val="00EB7A0A"/>
    <w:rsid w:val="00EC0603"/>
    <w:rsid w:val="00ED5DEF"/>
    <w:rsid w:val="00EE69B6"/>
    <w:rsid w:val="00F03AB8"/>
    <w:rsid w:val="00F064BD"/>
    <w:rsid w:val="00F22B71"/>
    <w:rsid w:val="00F2344C"/>
    <w:rsid w:val="00F23502"/>
    <w:rsid w:val="00F23693"/>
    <w:rsid w:val="00F41314"/>
    <w:rsid w:val="00FB719E"/>
    <w:rsid w:val="00FC4CFF"/>
    <w:rsid w:val="00FD35C0"/>
    <w:rsid w:val="00FE0C01"/>
    <w:rsid w:val="00FE32F5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54D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7A8C"/>
    <w:pPr>
      <w:keepNext/>
      <w:jc w:val="right"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C81A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9E4D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4D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4D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4DE2"/>
    <w:rPr>
      <w:sz w:val="24"/>
      <w:szCs w:val="24"/>
    </w:rPr>
  </w:style>
  <w:style w:type="paragraph" w:styleId="BalloonText">
    <w:name w:val="Balloon Text"/>
    <w:basedOn w:val="Normal"/>
    <w:link w:val="BalloonTextChar"/>
    <w:rsid w:val="009E4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4DE2"/>
    <w:rPr>
      <w:rFonts w:ascii="Tahoma" w:hAnsi="Tahoma" w:cs="Tahoma"/>
      <w:sz w:val="16"/>
      <w:szCs w:val="16"/>
    </w:rPr>
  </w:style>
  <w:style w:type="character" w:styleId="Hyperlink">
    <w:name w:val="Hyperlink"/>
    <w:rsid w:val="00657A8C"/>
    <w:rPr>
      <w:color w:val="0000FF"/>
      <w:u w:val="single"/>
    </w:rPr>
  </w:style>
  <w:style w:type="character" w:customStyle="1" w:styleId="Heading1Char">
    <w:name w:val="Heading 1 Char"/>
    <w:link w:val="Heading1"/>
    <w:rsid w:val="00657A8C"/>
    <w:rPr>
      <w:b/>
      <w:sz w:val="36"/>
    </w:rPr>
  </w:style>
  <w:style w:type="paragraph" w:customStyle="1" w:styleId="AveryWizard">
    <w:name w:val="Avery® Wizard"/>
    <w:basedOn w:val="Normal"/>
    <w:rsid w:val="001647C1"/>
    <w:pPr>
      <w:autoSpaceDE w:val="0"/>
      <w:autoSpaceDN w:val="0"/>
      <w:spacing w:line="200" w:lineRule="auto"/>
    </w:pPr>
    <w:rPr>
      <w:rFonts w:ascii="Arial" w:hAnsi="Arial"/>
      <w:sz w:val="20"/>
      <w:szCs w:val="20"/>
    </w:rPr>
  </w:style>
  <w:style w:type="character" w:customStyle="1" w:styleId="Heading2Char">
    <w:name w:val="Heading 2 Char"/>
    <w:link w:val="Heading2"/>
    <w:semiHidden/>
    <w:rsid w:val="00C81A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llowedHyperlink">
    <w:name w:val="FollowedHyperlink"/>
    <w:rsid w:val="00F064B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7A8C"/>
    <w:pPr>
      <w:keepNext/>
      <w:jc w:val="right"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C81A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9E4D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4D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4D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4DE2"/>
    <w:rPr>
      <w:sz w:val="24"/>
      <w:szCs w:val="24"/>
    </w:rPr>
  </w:style>
  <w:style w:type="paragraph" w:styleId="BalloonText">
    <w:name w:val="Balloon Text"/>
    <w:basedOn w:val="Normal"/>
    <w:link w:val="BalloonTextChar"/>
    <w:rsid w:val="009E4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4DE2"/>
    <w:rPr>
      <w:rFonts w:ascii="Tahoma" w:hAnsi="Tahoma" w:cs="Tahoma"/>
      <w:sz w:val="16"/>
      <w:szCs w:val="16"/>
    </w:rPr>
  </w:style>
  <w:style w:type="character" w:styleId="Hyperlink">
    <w:name w:val="Hyperlink"/>
    <w:rsid w:val="00657A8C"/>
    <w:rPr>
      <w:color w:val="0000FF"/>
      <w:u w:val="single"/>
    </w:rPr>
  </w:style>
  <w:style w:type="character" w:customStyle="1" w:styleId="Heading1Char">
    <w:name w:val="Heading 1 Char"/>
    <w:link w:val="Heading1"/>
    <w:rsid w:val="00657A8C"/>
    <w:rPr>
      <w:b/>
      <w:sz w:val="36"/>
    </w:rPr>
  </w:style>
  <w:style w:type="paragraph" w:customStyle="1" w:styleId="AveryWizard">
    <w:name w:val="Avery® Wizard"/>
    <w:basedOn w:val="Normal"/>
    <w:rsid w:val="001647C1"/>
    <w:pPr>
      <w:autoSpaceDE w:val="0"/>
      <w:autoSpaceDN w:val="0"/>
      <w:spacing w:line="200" w:lineRule="auto"/>
    </w:pPr>
    <w:rPr>
      <w:rFonts w:ascii="Arial" w:hAnsi="Arial"/>
      <w:sz w:val="20"/>
      <w:szCs w:val="20"/>
    </w:rPr>
  </w:style>
  <w:style w:type="character" w:customStyle="1" w:styleId="Heading2Char">
    <w:name w:val="Heading 2 Char"/>
    <w:link w:val="Heading2"/>
    <w:semiHidden/>
    <w:rsid w:val="00C81A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llowedHyperlink">
    <w:name w:val="FollowedHyperlink"/>
    <w:rsid w:val="00F064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sites.google.com/a/sou.edu/sou-faculty-senate-videos/october-17-2016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30F7-75FF-5242-B1A0-0035F36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1164</Words>
  <Characters>6637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Theatre Arts Playbill features the two plays offered each term</vt:lpstr>
    </vt:vector>
  </TitlesOfParts>
  <Company>Southern Oregon University</Company>
  <LinksUpToDate>false</LinksUpToDate>
  <CharactersWithSpaces>7786</CharactersWithSpaces>
  <SharedDoc>false</SharedDoc>
  <HLinks>
    <vt:vector size="6" baseType="variant">
      <vt:variant>
        <vt:i4>1769559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https://sites.google.com/a/sou.edu/sou-faculty-senate-videos/october-17-2016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Theatre Arts Playbill features the two plays offered each term</dc:title>
  <dc:subject/>
  <dc:creator>ArtMgr</dc:creator>
  <cp:keywords/>
  <cp:lastModifiedBy>Southern Oregon University</cp:lastModifiedBy>
  <cp:revision>3</cp:revision>
  <cp:lastPrinted>2016-06-28T21:35:00Z</cp:lastPrinted>
  <dcterms:created xsi:type="dcterms:W3CDTF">2016-11-15T14:06:00Z</dcterms:created>
  <dcterms:modified xsi:type="dcterms:W3CDTF">2016-11-15T14:06:00Z</dcterms:modified>
</cp:coreProperties>
</file>